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37" w:rsidRDefault="00636737">
      <w:bookmarkStart w:id="0" w:name="_GoBack"/>
      <w:bookmarkEnd w:id="0"/>
    </w:p>
    <w:tbl>
      <w:tblPr>
        <w:tblW w:w="9576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DE0E2E">
        <w:trPr>
          <w:trHeight w:val="1278"/>
        </w:trPr>
        <w:tc>
          <w:tcPr>
            <w:tcW w:w="9576" w:type="dxa"/>
            <w:shd w:val="clear" w:color="auto" w:fill="auto"/>
          </w:tcPr>
          <w:p w:rsidR="00DE0E2E" w:rsidRDefault="006A1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0" b="0"/>
                  <wp:wrapNone/>
                  <wp:docPr id="1" name="Рисунок 10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E0E2E" w:rsidRDefault="00DE0E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DE0E2E">
        <w:trPr>
          <w:trHeight w:val="1642"/>
        </w:trPr>
        <w:tc>
          <w:tcPr>
            <w:tcW w:w="9576" w:type="dxa"/>
            <w:shd w:val="clear" w:color="auto" w:fill="auto"/>
          </w:tcPr>
          <w:p w:rsidR="00DE0E2E" w:rsidRDefault="006A18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АДМИНИСТРАЦИЯ</w:t>
            </w:r>
          </w:p>
          <w:p w:rsidR="00DE0E2E" w:rsidRDefault="006A18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ПОЖАРСКОГО МУНИЦИПАЛЬНОГО ОКРУГА</w:t>
            </w:r>
          </w:p>
          <w:p w:rsidR="00DE0E2E" w:rsidRDefault="006A18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ПРИМОРСКОГО КРАЯ</w:t>
            </w:r>
          </w:p>
          <w:p w:rsidR="00DE0E2E" w:rsidRDefault="00DE0E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tbl>
            <w:tblPr>
              <w:tblW w:w="9466" w:type="dxa"/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4135"/>
              <w:gridCol w:w="1378"/>
              <w:gridCol w:w="1137"/>
            </w:tblGrid>
            <w:tr w:rsidR="00DE0E2E">
              <w:tc>
                <w:tcPr>
                  <w:tcW w:w="9466" w:type="dxa"/>
                  <w:gridSpan w:val="4"/>
                  <w:shd w:val="clear" w:color="auto" w:fill="auto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  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С  Т  А  Н  О  В  Л  Е  Н  И  Е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E0E2E">
              <w:tc>
                <w:tcPr>
                  <w:tcW w:w="2816" w:type="dxa"/>
                  <w:shd w:val="clear" w:color="auto" w:fill="auto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u w:val="single"/>
                      <w:lang w:eastAsia="ru-RU"/>
                    </w:rPr>
                    <w:t>04 февраля 2025 года</w:t>
                  </w:r>
                </w:p>
              </w:tc>
              <w:tc>
                <w:tcPr>
                  <w:tcW w:w="4135" w:type="dxa"/>
                  <w:shd w:val="clear" w:color="auto" w:fill="auto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пгт Лучегорск</w:t>
                  </w:r>
                </w:p>
              </w:tc>
              <w:tc>
                <w:tcPr>
                  <w:tcW w:w="1378" w:type="dxa"/>
                  <w:shd w:val="clear" w:color="auto" w:fill="auto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137" w:type="dxa"/>
                  <w:shd w:val="clear" w:color="auto" w:fill="auto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  <w:t>161-па</w:t>
                  </w:r>
                </w:p>
              </w:tc>
            </w:tr>
          </w:tbl>
          <w:p w:rsidR="00DE0E2E" w:rsidRDefault="00DE0E2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  <w:p w:rsidR="00DE0E2E" w:rsidRDefault="006A186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Пожарского муниципального округа Приморского края от 30 мая 2023 года                                                     № 613-па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«Об утверждении муниципальной программы «Обеспечение жильем молодых семей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Пожарского муниципального округа»</w:t>
            </w:r>
          </w:p>
          <w:p w:rsidR="00DE0E2E" w:rsidRDefault="006A186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2023-2027 годы» в новой редакции»</w:t>
            </w:r>
          </w:p>
          <w:p w:rsidR="00DE0E2E" w:rsidRDefault="00DE0E2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0E2E" w:rsidRDefault="006A1867">
            <w:pPr>
              <w:pStyle w:val="2"/>
              <w:widowControl w:val="0"/>
              <w:shd w:val="clear" w:color="auto" w:fill="FFFFFF"/>
              <w:spacing w:before="280" w:after="28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В соответствии со ст. 179 Бюджетного кодекса Российской Федерации, Жилищным кодексом Российской Федерации, Федеральным законом от 06 октября 2003 года № 131-ФЗ «Об общих прин</w:t>
            </w:r>
            <w:r>
              <w:rPr>
                <w:b w:val="0"/>
                <w:bCs w:val="0"/>
                <w:sz w:val="28"/>
                <w:szCs w:val="28"/>
              </w:rPr>
              <w:t>ципах организации местного самоуправления в Российской Федерации», руководствуясь Уставом Пожарского муниципального округа Приморского края, постановлением администрации Пожарского муниципального округа Приморского края        № 177-па от 22 февраля 2023 г</w:t>
            </w:r>
            <w:r>
              <w:rPr>
                <w:b w:val="0"/>
                <w:bCs w:val="0"/>
                <w:sz w:val="28"/>
                <w:szCs w:val="28"/>
              </w:rPr>
              <w:t>ода «Об утверждении Порядка принятия решений о разработке муниципальных программ Пожарского муниципального округа Приморского края, формирования, реализации и проведения оценки эффективности реализации муниципальных программ Пожарского муниципального округ</w:t>
            </w:r>
            <w:r>
              <w:rPr>
                <w:b w:val="0"/>
                <w:bCs w:val="0"/>
                <w:sz w:val="28"/>
                <w:szCs w:val="28"/>
              </w:rPr>
              <w:t>а Приморского края, администрация Пожарского муниципального округа Приморского края</w:t>
            </w:r>
          </w:p>
          <w:p w:rsidR="00DE0E2E" w:rsidRDefault="006A186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ПОСТАНОВЛЯЕТ:</w:t>
            </w:r>
          </w:p>
          <w:p w:rsidR="00DE0E2E" w:rsidRDefault="00DE0E2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0E2E" w:rsidRDefault="006A1867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жильем молодых семей Пожарского муниципального округа» на 2023-2027 годы» в 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утвержденную постановлением администрации Пожарского 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муниципального округа Приморского края от 30 мая 2023 года № 613-па (далее – Программа), следующие изменения:</w:t>
            </w:r>
          </w:p>
          <w:p w:rsidR="00DE0E2E" w:rsidRDefault="006A1867">
            <w:pPr>
              <w:spacing w:line="360" w:lineRule="auto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     1.1. В паспорте Программы строку «Объемы средств бюджета Пожарского муниципального окр</w:t>
            </w: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>уга и прогнозная оценка привлекаемых средств краевого бюджета» изложить в следующей редакции:</w:t>
            </w:r>
          </w:p>
          <w:tbl>
            <w:tblPr>
              <w:tblW w:w="9322" w:type="dxa"/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DE0E2E">
              <w:trPr>
                <w:trHeight w:val="4376"/>
              </w:trPr>
              <w:tc>
                <w:tcPr>
                  <w:tcW w:w="9322" w:type="dxa"/>
                  <w:vAlign w:val="center"/>
                </w:tcPr>
                <w:p w:rsidR="00DE0E2E" w:rsidRDefault="006A1867">
                  <w:pPr>
                    <w:widowControl w:val="0"/>
                    <w:spacing w:line="360" w:lineRule="auto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   «Общий объем финансирования Программы за счет средств бюджета Пожарского муниципального округа в текущих ценах каждого года составляет: </w:t>
                  </w: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 xml:space="preserve">1 996 584,00 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>руб., в т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>ом числе: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2023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- 145 320,00 руб.;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2024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руб.;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2025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- 202 482,00 руб.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2026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руб.;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2027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- 549 594,00 руб.</w:t>
                  </w:r>
                </w:p>
                <w:p w:rsidR="00DE0E2E" w:rsidRDefault="006A1867">
                  <w:pPr>
                    <w:widowControl w:val="0"/>
                    <w:spacing w:line="360" w:lineRule="auto"/>
                    <w:jc w:val="both"/>
                  </w:pPr>
                  <w:r>
                    <w:rPr>
                      <w:rFonts w:ascii="Tinos" w:hAnsi="Tinos"/>
                      <w:color w:val="000000"/>
                      <w:sz w:val="28"/>
                      <w:szCs w:val="28"/>
                    </w:rPr>
                    <w:t xml:space="preserve">   Прогнозная оценка средств, привлекаемых на реализацию целей программы, из краевого бюджета: </w:t>
                  </w:r>
                  <w:r>
                    <w:rPr>
                      <w:rFonts w:ascii="Tinos" w:hAnsi="Tinos"/>
                      <w:b/>
                      <w:bCs/>
                      <w:color w:val="000000"/>
                      <w:sz w:val="28"/>
                      <w:szCs w:val="28"/>
                    </w:rPr>
                    <w:t>5 099 966,4</w:t>
                  </w:r>
                  <w:r>
                    <w:rPr>
                      <w:rFonts w:ascii="Tinos" w:hAnsi="Tinos"/>
                      <w:color w:val="000000"/>
                      <w:sz w:val="28"/>
                      <w:szCs w:val="28"/>
                    </w:rPr>
                    <w:t xml:space="preserve"> руб., в том числе:</w:t>
                  </w:r>
                </w:p>
                <w:p w:rsidR="00DE0E2E" w:rsidRDefault="006A186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2023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- 363 300,00 руб.;</w:t>
                  </w:r>
                </w:p>
                <w:p w:rsidR="00DE0E2E" w:rsidRDefault="006A186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2024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- 1 373 985,00 руб.;</w:t>
                  </w:r>
                </w:p>
                <w:p w:rsidR="00DE0E2E" w:rsidRDefault="006A186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2025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- 506 205,00 руб.;</w:t>
                  </w:r>
                </w:p>
                <w:p w:rsidR="00DE0E2E" w:rsidRDefault="006A186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 xml:space="preserve">2026 год - 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>1 444 000,87 руб.;</w:t>
                  </w:r>
                </w:p>
                <w:p w:rsidR="00DE0E2E" w:rsidRDefault="006A1867">
                  <w:pPr>
                    <w:widowControl w:val="0"/>
                    <w:jc w:val="both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  <w:b/>
                      <w:bCs/>
                      <w:sz w:val="28"/>
                      <w:szCs w:val="28"/>
                    </w:rPr>
                    <w:t>2027 год</w:t>
                  </w:r>
                  <w:r>
                    <w:rPr>
                      <w:rFonts w:ascii="Tinos" w:hAnsi="Tinos"/>
                      <w:sz w:val="28"/>
                      <w:szCs w:val="28"/>
                    </w:rPr>
                    <w:t xml:space="preserve"> - 1 412 475,53 руб.».</w:t>
                  </w:r>
                </w:p>
              </w:tc>
            </w:tr>
          </w:tbl>
          <w:p w:rsidR="00DE0E2E" w:rsidRDefault="006A1867">
            <w:pPr>
              <w:widowControl w:val="0"/>
              <w:spacing w:after="0" w:line="360" w:lineRule="auto"/>
              <w:ind w:firstLine="708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sz w:val="28"/>
                <w:szCs w:val="28"/>
                <w:lang w:eastAsia="ru-RU"/>
              </w:rPr>
              <w:t xml:space="preserve">1.2.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nos" w:hAnsi="Tinos" w:cs="Times New Roman"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 Ресурсное обеспечение программы, изложить в следующей редакции:</w:t>
            </w:r>
          </w:p>
          <w:p w:rsidR="00DE0E2E" w:rsidRDefault="006A1867">
            <w:pPr>
              <w:widowControl w:val="0"/>
              <w:spacing w:after="0" w:line="360" w:lineRule="auto"/>
              <w:ind w:firstLine="708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В случае признания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Пожарского муниципального округа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получателем субсидий из краевого бюджета в рамках реализации государственной программы Приморского края «Обеспечение доступным жильем и качественными услугами жилищно-коммунального хозяйства населения При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морского края» на 2020-2027 годы, утвержденной постановлением </w:t>
            </w:r>
            <w:r>
              <w:rPr>
                <w:rFonts w:ascii="Tinos" w:hAnsi="Tinos" w:cs="Times New Roman"/>
                <w:sz w:val="28"/>
                <w:szCs w:val="28"/>
              </w:rPr>
              <w:lastRenderedPageBreak/>
              <w:t xml:space="preserve">Администрации Приморского края от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30 декабря 2019 года № 945-па,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общий объем финансирования Программы за счет средств бюджета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Пожарского муниципального округа 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составит: </w:t>
            </w:r>
            <w:r>
              <w:rPr>
                <w:rFonts w:ascii="Tinos" w:hAnsi="Tinos" w:cs="Times New Roman"/>
                <w:b/>
                <w:bCs/>
                <w:sz w:val="28"/>
                <w:szCs w:val="28"/>
              </w:rPr>
              <w:t>1 996 584,00</w:t>
            </w:r>
            <w:r>
              <w:rPr>
                <w:rFonts w:ascii="Tinos" w:hAnsi="Tinos" w:cs="Times New Roman"/>
                <w:sz w:val="28"/>
                <w:szCs w:val="28"/>
              </w:rPr>
              <w:t xml:space="preserve"> руб.,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>краево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го бюджета –        </w:t>
            </w:r>
            <w:r>
              <w:rPr>
                <w:rFonts w:ascii="Tinos" w:hAnsi="Tinos" w:cs="Times New Roman"/>
                <w:b/>
                <w:bCs/>
                <w:color w:val="000000"/>
                <w:sz w:val="28"/>
                <w:szCs w:val="28"/>
              </w:rPr>
              <w:t xml:space="preserve">5 099 966,4 </w:t>
            </w:r>
            <w:r>
              <w:rPr>
                <w:rFonts w:ascii="Tinos" w:hAnsi="Tinos" w:cs="Times New Roman"/>
                <w:color w:val="000000"/>
                <w:sz w:val="28"/>
                <w:szCs w:val="28"/>
              </w:rPr>
              <w:t xml:space="preserve">руб., </w:t>
            </w:r>
            <w:r>
              <w:rPr>
                <w:rFonts w:ascii="Tinos" w:hAnsi="Tinos" w:cs="Times New Roman"/>
                <w:sz w:val="28"/>
                <w:szCs w:val="28"/>
              </w:rPr>
              <w:t>в том числе:</w:t>
            </w:r>
          </w:p>
          <w:p w:rsidR="00DE0E2E" w:rsidRDefault="006A1867">
            <w:pPr>
              <w:widowControl w:val="0"/>
              <w:spacing w:line="360" w:lineRule="auto"/>
              <w:jc w:val="both"/>
            </w:pPr>
            <w:r>
              <w:rPr>
                <w:rFonts w:ascii="Tinos" w:hAnsi="Tinos" w:cs="Times New Roman"/>
                <w:b/>
                <w:bCs/>
                <w:sz w:val="28"/>
                <w:szCs w:val="28"/>
              </w:rPr>
              <w:t>Объём финансирования на 2023 год</w:t>
            </w:r>
          </w:p>
          <w:tbl>
            <w:tblPr>
              <w:tblStyle w:val="ad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1003"/>
              <w:gridCol w:w="3260"/>
              <w:gridCol w:w="2120"/>
              <w:gridCol w:w="2446"/>
            </w:tblGrid>
            <w:tr w:rsidR="00DE0E2E">
              <w:tc>
                <w:tcPr>
                  <w:tcW w:w="79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-284" w:firstLine="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003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32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социальной выплаты</w:t>
                  </w:r>
                </w:p>
              </w:tc>
              <w:tc>
                <w:tcPr>
                  <w:tcW w:w="212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</w:tc>
              <w:tc>
                <w:tcPr>
                  <w:tcW w:w="2446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0E2E">
              <w:tc>
                <w:tcPr>
                  <w:tcW w:w="79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3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508 620,00</w:t>
                  </w:r>
                </w:p>
              </w:tc>
              <w:tc>
                <w:tcPr>
                  <w:tcW w:w="212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145 320,00</w:t>
                  </w:r>
                </w:p>
              </w:tc>
              <w:tc>
                <w:tcPr>
                  <w:tcW w:w="2446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363 300,00</w:t>
                  </w:r>
                </w:p>
              </w:tc>
            </w:tr>
            <w:tr w:rsidR="00DE0E2E">
              <w:tc>
                <w:tcPr>
                  <w:tcW w:w="797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3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2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145 320,00</w:t>
                  </w:r>
                </w:p>
              </w:tc>
              <w:tc>
                <w:tcPr>
                  <w:tcW w:w="2446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363 300,00</w:t>
                  </w:r>
                </w:p>
              </w:tc>
            </w:tr>
          </w:tbl>
          <w:p w:rsidR="00DE0E2E" w:rsidRDefault="006A1867">
            <w:pPr>
              <w:widowControl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Объём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на 2024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95"/>
              <w:gridCol w:w="3204"/>
              <w:gridCol w:w="710"/>
              <w:gridCol w:w="1560"/>
              <w:gridCol w:w="1300"/>
              <w:gridCol w:w="1636"/>
            </w:tblGrid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4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4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(18,0 кв. м х 4) х 48 210р. = 3 471 120,00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1 214 892,00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347 112,00</w:t>
                  </w:r>
                </w:p>
              </w:tc>
              <w:tc>
                <w:tcPr>
                  <w:tcW w:w="1636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867 780,00</w:t>
                  </w:r>
                </w:p>
              </w:tc>
            </w:tr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4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 х 2) х 48210р.=</w:t>
                  </w:r>
                </w:p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6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DE0E2E">
              <w:tc>
                <w:tcPr>
                  <w:tcW w:w="54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4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1 923 579,00</w:t>
                  </w:r>
                </w:p>
              </w:tc>
              <w:tc>
                <w:tcPr>
                  <w:tcW w:w="130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549 594,00</w:t>
                  </w:r>
                </w:p>
              </w:tc>
              <w:tc>
                <w:tcPr>
                  <w:tcW w:w="1636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1 373 985,00</w:t>
                  </w:r>
                </w:p>
              </w:tc>
            </w:tr>
          </w:tbl>
          <w:p w:rsidR="00DE0E2E" w:rsidRDefault="006A186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Объём финансирования на 2025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95"/>
              <w:gridCol w:w="3203"/>
              <w:gridCol w:w="710"/>
              <w:gridCol w:w="1560"/>
              <w:gridCol w:w="1300"/>
              <w:gridCol w:w="1637"/>
            </w:tblGrid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5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 семьи</w:t>
                  </w:r>
                </w:p>
              </w:tc>
              <w:tc>
                <w:tcPr>
                  <w:tcW w:w="3203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71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3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03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right="-10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(21,0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кв.м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 2) х 48210р.=</w:t>
                  </w:r>
                </w:p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2 024 820,00 р.</w:t>
                  </w:r>
                </w:p>
              </w:tc>
              <w:tc>
                <w:tcPr>
                  <w:tcW w:w="71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6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708 687,00</w:t>
                  </w:r>
                </w:p>
              </w:tc>
              <w:tc>
                <w:tcPr>
                  <w:tcW w:w="13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202 482,00</w:t>
                  </w:r>
                </w:p>
              </w:tc>
              <w:tc>
                <w:tcPr>
                  <w:tcW w:w="163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nos" w:hAnsi="Tinos"/>
                    </w:rPr>
                  </w:pPr>
                  <w:r>
                    <w:rPr>
                      <w:rFonts w:ascii="Tinos" w:eastAsia="Calibri" w:hAnsi="Tinos" w:cs="Times New Roman"/>
                      <w:sz w:val="24"/>
                      <w:szCs w:val="24"/>
                    </w:rPr>
                    <w:t>506 205,00</w:t>
                  </w:r>
                </w:p>
              </w:tc>
            </w:tr>
            <w:tr w:rsidR="00DE0E2E">
              <w:trPr>
                <w:trHeight w:val="314"/>
              </w:trPr>
              <w:tc>
                <w:tcPr>
                  <w:tcW w:w="54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3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1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708 687,00</w:t>
                  </w:r>
                </w:p>
              </w:tc>
              <w:tc>
                <w:tcPr>
                  <w:tcW w:w="130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202 482,00</w:t>
                  </w:r>
                </w:p>
              </w:tc>
              <w:tc>
                <w:tcPr>
                  <w:tcW w:w="1637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nos" w:hAnsi="Tinos"/>
                    </w:rPr>
                  </w:pPr>
                  <w:r>
                    <w:rPr>
                      <w:rFonts w:ascii="Tinos" w:hAnsi="Tinos"/>
                    </w:rPr>
                    <w:t xml:space="preserve">   </w:t>
                  </w:r>
                  <w:r>
                    <w:rPr>
                      <w:rFonts w:ascii="Tinos" w:hAnsi="Tinos"/>
                      <w:b/>
                      <w:bCs/>
                    </w:rPr>
                    <w:t xml:space="preserve"> 506 205,00</w:t>
                  </w:r>
                </w:p>
              </w:tc>
            </w:tr>
          </w:tbl>
          <w:p w:rsidR="00DE0E2E" w:rsidRDefault="006A186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Объём финансирования на 2026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868"/>
              <w:gridCol w:w="2930"/>
              <w:gridCol w:w="588"/>
              <w:gridCol w:w="1587"/>
              <w:gridCol w:w="1532"/>
              <w:gridCol w:w="1500"/>
            </w:tblGrid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6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293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8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532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0" w:type="dxa"/>
                  <w:vAlign w:val="center"/>
                </w:tcPr>
                <w:p w:rsidR="00DE0E2E" w:rsidRDefault="00DE0E2E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87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1 993 594,87</w:t>
                  </w:r>
                </w:p>
              </w:tc>
              <w:tc>
                <w:tcPr>
                  <w:tcW w:w="1532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549 594,00</w:t>
                  </w:r>
                </w:p>
              </w:tc>
              <w:tc>
                <w:tcPr>
                  <w:tcW w:w="15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1 444 000,87</w:t>
                  </w:r>
                </w:p>
              </w:tc>
            </w:tr>
            <w:tr w:rsidR="00DE0E2E">
              <w:tc>
                <w:tcPr>
                  <w:tcW w:w="54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88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7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1 993 594,87</w:t>
                  </w:r>
                </w:p>
              </w:tc>
              <w:tc>
                <w:tcPr>
                  <w:tcW w:w="1532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549 594,00</w:t>
                  </w:r>
                </w:p>
              </w:tc>
              <w:tc>
                <w:tcPr>
                  <w:tcW w:w="150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1 444 000,87</w:t>
                  </w:r>
                </w:p>
              </w:tc>
            </w:tr>
          </w:tbl>
          <w:p w:rsidR="00DE0E2E" w:rsidRDefault="006A1867">
            <w:pPr>
              <w:widowControl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Объём финансирования на 2027 год</w:t>
            </w:r>
          </w:p>
          <w:tbl>
            <w:tblPr>
              <w:tblStyle w:val="ad"/>
              <w:tblW w:w="9546" w:type="dxa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868"/>
              <w:gridCol w:w="2929"/>
              <w:gridCol w:w="588"/>
              <w:gridCol w:w="1588"/>
              <w:gridCol w:w="1532"/>
              <w:gridCol w:w="1500"/>
            </w:tblGrid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-284" w:firstLine="142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6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Кол-во семей</w:t>
                  </w:r>
                </w:p>
              </w:tc>
              <w:tc>
                <w:tcPr>
                  <w:tcW w:w="2929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Стоимость жилья</w:t>
                  </w:r>
                </w:p>
              </w:tc>
              <w:tc>
                <w:tcPr>
                  <w:tcW w:w="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% соц. выплат</w:t>
                  </w:r>
                </w:p>
              </w:tc>
              <w:tc>
                <w:tcPr>
                  <w:tcW w:w="1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ind w:left="33" w:hanging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Сумма соц. выплаты</w:t>
                  </w:r>
                </w:p>
              </w:tc>
              <w:tc>
                <w:tcPr>
                  <w:tcW w:w="1532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бюджета ПМО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 краевого бюджета</w:t>
                  </w:r>
                </w:p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E0E2E">
              <w:tc>
                <w:tcPr>
                  <w:tcW w:w="54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29" w:type="dxa"/>
                  <w:vAlign w:val="center"/>
                </w:tcPr>
                <w:p w:rsidR="00DE0E2E" w:rsidRDefault="00DE0E2E">
                  <w:pPr>
                    <w:widowControl w:val="0"/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88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1 962 069,53</w:t>
                  </w:r>
                </w:p>
              </w:tc>
              <w:tc>
                <w:tcPr>
                  <w:tcW w:w="1532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549 594,00</w:t>
                  </w:r>
                </w:p>
              </w:tc>
              <w:tc>
                <w:tcPr>
                  <w:tcW w:w="1500" w:type="dxa"/>
                  <w:vAlign w:val="center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1 412 475,53</w:t>
                  </w:r>
                </w:p>
              </w:tc>
            </w:tr>
            <w:tr w:rsidR="00DE0E2E">
              <w:tc>
                <w:tcPr>
                  <w:tcW w:w="540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88" w:type="dxa"/>
                </w:tcPr>
                <w:p w:rsidR="00DE0E2E" w:rsidRDefault="00DE0E2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1 962 069,53</w:t>
                  </w:r>
                </w:p>
              </w:tc>
              <w:tc>
                <w:tcPr>
                  <w:tcW w:w="1532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 549 594,00</w:t>
                  </w:r>
                </w:p>
              </w:tc>
              <w:tc>
                <w:tcPr>
                  <w:tcW w:w="1500" w:type="dxa"/>
                </w:tcPr>
                <w:p w:rsidR="00DE0E2E" w:rsidRDefault="006A1867">
                  <w:pPr>
                    <w:widowControl w:val="0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1 412 475,53</w:t>
                  </w:r>
                </w:p>
              </w:tc>
            </w:tr>
          </w:tbl>
          <w:p w:rsidR="00DE0E2E" w:rsidRDefault="00DE0E2E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0E2E" w:rsidRDefault="00DE0E2E">
            <w:pPr>
              <w:widowControl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0E2E" w:rsidRDefault="006A1867">
            <w:pPr>
              <w:widowControl w:val="0"/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2. Отделу информационных технологий администрации Пожарского муниципального округа разместить настоящее постановление на официальном сайте администрации Пожарского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округа Приморского края.</w:t>
            </w:r>
          </w:p>
          <w:p w:rsidR="00DE0E2E" w:rsidRDefault="006A1867">
            <w:pPr>
              <w:widowControl w:val="0"/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 Общему отделу администрации Пожарского муниципального округа Приморского края опубликовать настоящее постановление в газете «Победа».</w:t>
            </w:r>
          </w:p>
          <w:p w:rsidR="00DE0E2E" w:rsidRDefault="006A1867">
            <w:pPr>
              <w:widowControl w:val="0"/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 Контроль за исполнением настоящего постановления возложить на заместителя главы администрац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ии Пожарского муниципального округа по жилищно-коммунальному хозяйству.</w:t>
            </w:r>
          </w:p>
          <w:p w:rsidR="00DE0E2E" w:rsidRDefault="006A1867">
            <w:pPr>
              <w:widowControl w:val="0"/>
              <w:spacing w:after="0" w:line="36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опубликования.</w:t>
            </w:r>
          </w:p>
          <w:p w:rsidR="00DE0E2E" w:rsidRDefault="00DE0E2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0E2E" w:rsidRDefault="00DE0E2E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E0E2E" w:rsidRDefault="006A1867">
            <w:pPr>
              <w:widowControl w:val="0"/>
              <w:spacing w:after="0" w:line="360" w:lineRule="auto"/>
              <w:ind w:right="313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Пожарского муниципального округа                                   В.М. Козак</w:t>
            </w:r>
          </w:p>
        </w:tc>
      </w:tr>
      <w:tr w:rsidR="00DE0E2E">
        <w:trPr>
          <w:trHeight w:val="1642"/>
        </w:trPr>
        <w:tc>
          <w:tcPr>
            <w:tcW w:w="9576" w:type="dxa"/>
            <w:shd w:val="clear" w:color="auto" w:fill="auto"/>
          </w:tcPr>
          <w:p w:rsidR="00DE0E2E" w:rsidRDefault="00DE0E2E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</w:tr>
    </w:tbl>
    <w:p w:rsidR="00DE0E2E" w:rsidRDefault="00DE0E2E"/>
    <w:sectPr w:rsidR="00DE0E2E">
      <w:pgSz w:w="11906" w:h="16838"/>
      <w:pgMar w:top="568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E0E2E"/>
    <w:rsid w:val="00636737"/>
    <w:rsid w:val="006A1867"/>
    <w:rsid w:val="00D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F355-48F9-4C59-9247-B0774DC1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B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D14E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05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D14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8405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AD14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unhideWhenUsed/>
    <w:rsid w:val="0084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11D2-F309-4BDB-AAAE-9DF2DC65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EvstifeevaEA</cp:lastModifiedBy>
  <cp:revision>80</cp:revision>
  <cp:lastPrinted>2025-01-24T12:33:00Z</cp:lastPrinted>
  <dcterms:created xsi:type="dcterms:W3CDTF">2025-02-06T00:23:00Z</dcterms:created>
  <dcterms:modified xsi:type="dcterms:W3CDTF">2025-02-06T01:02:00Z</dcterms:modified>
  <dc:language>ru-RU</dc:language>
</cp:coreProperties>
</file>