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D178EB" w:rsidRPr="00CB5306" w:rsidTr="00B93141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ind w:left="-534"/>
              <w:jc w:val="center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  <w:p w:rsidR="00D178EB" w:rsidRPr="00230E7E" w:rsidRDefault="00D178EB" w:rsidP="0049549E">
            <w:pPr>
              <w:jc w:val="center"/>
              <w:rPr>
                <w:sz w:val="28"/>
                <w:szCs w:val="28"/>
              </w:rPr>
            </w:pP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Default="00D178EB" w:rsidP="0049549E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49549E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49549E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93141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110DF7" w:rsidP="00D85A51">
            <w:pPr>
              <w:jc w:val="center"/>
            </w:pPr>
            <w:r>
              <w:t>26 июля 2024 года</w:t>
            </w:r>
            <w:bookmarkStart w:id="0" w:name="_GoBack"/>
            <w:bookmarkEnd w:id="0"/>
          </w:p>
        </w:tc>
        <w:tc>
          <w:tcPr>
            <w:tcW w:w="4135" w:type="dxa"/>
            <w:shd w:val="clear" w:color="auto" w:fill="auto"/>
          </w:tcPr>
          <w:p w:rsidR="00103554" w:rsidRPr="006114DB" w:rsidRDefault="00103554" w:rsidP="00D85A51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110DF7" w:rsidP="00D85A51">
            <w:pPr>
              <w:jc w:val="center"/>
            </w:pPr>
            <w:r>
              <w:t>754-па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103554" w:rsidRPr="00502F16" w:rsidRDefault="00103554" w:rsidP="00103554">
      <w:pPr>
        <w:rPr>
          <w:sz w:val="16"/>
          <w:szCs w:val="16"/>
        </w:rPr>
      </w:pP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Пожарского муниципального округа Приморского края от 21 июля 2023 года </w:t>
      </w: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915-па «</w:t>
      </w:r>
      <w:r w:rsidRPr="005D6749">
        <w:rPr>
          <w:b/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</w:t>
      </w:r>
    </w:p>
    <w:p w:rsidR="00081C31" w:rsidRPr="005D6749" w:rsidRDefault="00081C31" w:rsidP="00081C31">
      <w:pPr>
        <w:jc w:val="center"/>
        <w:rPr>
          <w:b/>
          <w:sz w:val="28"/>
        </w:rPr>
      </w:pPr>
      <w:r w:rsidRPr="005D6749">
        <w:rPr>
          <w:b/>
          <w:sz w:val="28"/>
          <w:szCs w:val="28"/>
        </w:rPr>
        <w:t xml:space="preserve"> на 2023-202</w:t>
      </w:r>
      <w:r w:rsidR="00900016">
        <w:rPr>
          <w:b/>
          <w:sz w:val="28"/>
          <w:szCs w:val="28"/>
        </w:rPr>
        <w:t>6</w:t>
      </w:r>
      <w:r w:rsidRPr="005D6749">
        <w:rPr>
          <w:b/>
          <w:sz w:val="28"/>
          <w:szCs w:val="28"/>
        </w:rPr>
        <w:t xml:space="preserve"> годы»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B74F7C" w:rsidRPr="00B74F7C" w:rsidRDefault="00172559" w:rsidP="00B74F7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103554" w:rsidRDefault="00103554" w:rsidP="00103554">
      <w:pPr>
        <w:jc w:val="both"/>
        <w:rPr>
          <w:sz w:val="24"/>
          <w:szCs w:val="24"/>
        </w:rPr>
      </w:pPr>
    </w:p>
    <w:p w:rsidR="00563843" w:rsidRPr="002D6910" w:rsidRDefault="00563843" w:rsidP="00103554">
      <w:pPr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D178EB" w:rsidRPr="0015098B" w:rsidRDefault="00900016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«Развитие культуры и искусства в Пожарском муниципальном </w:t>
      </w:r>
      <w:r w:rsidR="00C6503D">
        <w:rPr>
          <w:sz w:val="28"/>
          <w:szCs w:val="28"/>
        </w:rPr>
        <w:t>округе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 Приморского края от </w:t>
      </w:r>
      <w:r w:rsidR="00F27D3C">
        <w:rPr>
          <w:sz w:val="28"/>
          <w:szCs w:val="28"/>
        </w:rPr>
        <w:t>2</w:t>
      </w:r>
      <w:r w:rsidR="00172559">
        <w:rPr>
          <w:sz w:val="28"/>
          <w:szCs w:val="28"/>
        </w:rPr>
        <w:t>1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июля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F27D3C">
        <w:rPr>
          <w:sz w:val="28"/>
          <w:szCs w:val="28"/>
        </w:rPr>
        <w:t>915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</w:p>
    <w:p w:rsidR="0015098B" w:rsidRPr="00954ADF" w:rsidRDefault="009B4B6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</w:t>
      </w:r>
      <w:r w:rsidR="0015098B" w:rsidRPr="00954ADF">
        <w:rPr>
          <w:color w:val="000000" w:themeColor="text1"/>
          <w:sz w:val="28"/>
          <w:szCs w:val="28"/>
        </w:rPr>
        <w:t>.1. В паспорте муниципальной программы раздел «Объемы и источники финансирования (в текущих ценах каждого года)»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</w:t>
      </w:r>
      <w:r w:rsidR="00C74801">
        <w:rPr>
          <w:color w:val="000000" w:themeColor="text1"/>
          <w:sz w:val="28"/>
          <w:szCs w:val="28"/>
        </w:rPr>
        <w:t xml:space="preserve">Программы составляет </w:t>
      </w:r>
      <w:r w:rsidR="002C5043">
        <w:rPr>
          <w:b/>
          <w:color w:val="000000" w:themeColor="text1"/>
          <w:sz w:val="28"/>
          <w:szCs w:val="28"/>
        </w:rPr>
        <w:t>542 238,69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945A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352F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33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945A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70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2C5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56 674,23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2C5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403 742,20</w:t>
      </w:r>
      <w:r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53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7D42B9" w:rsidRPr="00D178EB" w:rsidTr="00185AD9">
        <w:tc>
          <w:tcPr>
            <w:tcW w:w="959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2C5043" w:rsidP="0094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153 773,01</w:t>
            </w:r>
          </w:p>
        </w:tc>
        <w:tc>
          <w:tcPr>
            <w:tcW w:w="1843" w:type="dxa"/>
          </w:tcPr>
          <w:p w:rsidR="0015098B" w:rsidRPr="005545B7" w:rsidRDefault="007D42B9" w:rsidP="0094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945AD9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945AD9">
              <w:rPr>
                <w:color w:val="000000" w:themeColor="text1"/>
                <w:sz w:val="24"/>
                <w:szCs w:val="24"/>
              </w:rPr>
              <w:t>177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945AD9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945AD9" w:rsidP="002C5043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  <w:r w:rsidR="002C5043">
              <w:rPr>
                <w:color w:val="000000" w:themeColor="text1"/>
                <w:sz w:val="24"/>
                <w:szCs w:val="24"/>
              </w:rPr>
              <w:t> 220,43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2C5043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112 418,27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15098B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D42B9">
              <w:rPr>
                <w:color w:val="000000" w:themeColor="text1"/>
                <w:sz w:val="24"/>
                <w:szCs w:val="24"/>
              </w:rPr>
              <w:t>03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770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 w:rsidR="007D42B9"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7D42B9">
              <w:rPr>
                <w:color w:val="000000" w:themeColor="text1"/>
                <w:sz w:val="24"/>
                <w:szCs w:val="24"/>
              </w:rPr>
              <w:t>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552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7F1BB5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7F1BB5" w:rsidRDefault="00D35CA8" w:rsidP="00D35CA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319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7F1BB5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:rsidR="007F1BB5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315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2C5043" w:rsidP="0094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542 238,69</w:t>
            </w:r>
          </w:p>
        </w:tc>
        <w:tc>
          <w:tcPr>
            <w:tcW w:w="1843" w:type="dxa"/>
          </w:tcPr>
          <w:p w:rsidR="0015098B" w:rsidRPr="005545B7" w:rsidRDefault="00D35CA8" w:rsidP="0094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</w:t>
            </w:r>
            <w:r w:rsidR="00945AD9">
              <w:rPr>
                <w:b/>
                <w:color w:val="000000" w:themeColor="text1"/>
                <w:sz w:val="24"/>
                <w:szCs w:val="24"/>
              </w:rPr>
              <w:t>6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352FD7">
              <w:rPr>
                <w:b/>
                <w:color w:val="000000" w:themeColor="text1"/>
                <w:sz w:val="24"/>
                <w:szCs w:val="24"/>
              </w:rPr>
              <w:t>33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945AD9">
              <w:rPr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2C5043" w:rsidP="0094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56 674,23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2C5043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403 742,20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483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53</w:t>
            </w:r>
          </w:p>
        </w:tc>
      </w:tr>
    </w:tbl>
    <w:p w:rsidR="0015098B" w:rsidRPr="00D178EB" w:rsidRDefault="0015098B" w:rsidP="0015098B">
      <w:pPr>
        <w:ind w:firstLine="708"/>
        <w:jc w:val="both"/>
        <w:rPr>
          <w:color w:val="FF0000"/>
          <w:sz w:val="28"/>
          <w:szCs w:val="28"/>
        </w:rPr>
      </w:pPr>
    </w:p>
    <w:p w:rsidR="0015098B" w:rsidRPr="005545B7" w:rsidRDefault="009B4B6B" w:rsidP="0015098B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>
        <w:rPr>
          <w:color w:val="000000" w:themeColor="text1"/>
          <w:sz w:val="28"/>
          <w:szCs w:val="28"/>
        </w:rPr>
        <w:t>.2</w:t>
      </w:r>
      <w:r w:rsidR="0015098B" w:rsidRPr="005545B7">
        <w:rPr>
          <w:color w:val="000000" w:themeColor="text1"/>
          <w:sz w:val="28"/>
          <w:szCs w:val="28"/>
        </w:rPr>
        <w:t xml:space="preserve">. Абзацы со второго по седьмой раздела 7 «Ресурсное обеспечение программы» изложить в </w:t>
      </w:r>
      <w:r w:rsidR="00A0279B">
        <w:rPr>
          <w:color w:val="000000" w:themeColor="text1"/>
          <w:sz w:val="28"/>
          <w:szCs w:val="28"/>
        </w:rPr>
        <w:t>следующей</w:t>
      </w:r>
      <w:r w:rsidR="0015098B" w:rsidRPr="005545B7">
        <w:rPr>
          <w:color w:val="000000" w:themeColor="text1"/>
          <w:sz w:val="28"/>
          <w:szCs w:val="28"/>
        </w:rPr>
        <w:t xml:space="preserve">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Программы </w:t>
      </w:r>
      <w:r w:rsidRPr="005F7AD4">
        <w:rPr>
          <w:color w:val="000000" w:themeColor="text1"/>
          <w:sz w:val="28"/>
          <w:szCs w:val="28"/>
        </w:rPr>
        <w:t xml:space="preserve">составляет </w:t>
      </w:r>
      <w:r w:rsidR="002C5043">
        <w:rPr>
          <w:b/>
          <w:color w:val="000000" w:themeColor="text1"/>
          <w:sz w:val="28"/>
          <w:szCs w:val="28"/>
        </w:rPr>
        <w:t>542 238,69</w:t>
      </w:r>
      <w:r w:rsidR="009F79FE"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E1C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352F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33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5E1C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70</w:t>
      </w:r>
      <w:r w:rsidR="009F79FE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2C5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56 674,23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2C50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403 742,20</w:t>
      </w:r>
      <w:r w:rsidR="009653CF"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55 483,53</w:t>
      </w:r>
      <w:r w:rsidR="00A0279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2C5043" w:rsidRPr="002C5043" w:rsidRDefault="00A0279B" w:rsidP="002C5043">
      <w:pPr>
        <w:pStyle w:val="ConsPlusNormal"/>
        <w:widowControl/>
        <w:tabs>
          <w:tab w:val="left" w:pos="1200"/>
        </w:tabs>
        <w:spacing w:line="360" w:lineRule="auto"/>
        <w:ind w:left="792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</w:t>
      </w:r>
      <w:r w:rsidR="0015098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з них:</w:t>
      </w:r>
      <w:r w:rsidR="0015098B" w:rsidRPr="005545B7">
        <w:rPr>
          <w:color w:val="000000" w:themeColor="text1"/>
          <w:sz w:val="28"/>
          <w:szCs w:val="28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2C5043" w:rsidRPr="00D178EB" w:rsidTr="003715BF"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2C5043" w:rsidRPr="005545B7" w:rsidRDefault="002C5043" w:rsidP="003715BF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2C5043" w:rsidRPr="00D178EB" w:rsidTr="003715BF"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2C5043" w:rsidRPr="00D178EB" w:rsidTr="003715BF"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153 773,01</w:t>
            </w:r>
          </w:p>
        </w:tc>
        <w:tc>
          <w:tcPr>
            <w:tcW w:w="1843" w:type="dxa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20 177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7 220,43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112 418,27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2C5043" w:rsidRPr="00D178EB" w:rsidTr="003715BF">
        <w:trPr>
          <w:trHeight w:val="70"/>
        </w:trPr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103 770,25</w:t>
            </w:r>
          </w:p>
        </w:tc>
        <w:tc>
          <w:tcPr>
            <w:tcW w:w="1843" w:type="dxa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552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2C5043" w:rsidRPr="00D178EB" w:rsidTr="003715BF">
        <w:trPr>
          <w:trHeight w:val="70"/>
        </w:trPr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2C5043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121 319,22</w:t>
            </w:r>
          </w:p>
        </w:tc>
        <w:tc>
          <w:tcPr>
            <w:tcW w:w="1843" w:type="dxa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19 028,29</w:t>
            </w:r>
          </w:p>
        </w:tc>
        <w:tc>
          <w:tcPr>
            <w:tcW w:w="1701" w:type="dxa"/>
            <w:shd w:val="clear" w:color="auto" w:fill="auto"/>
          </w:tcPr>
          <w:p w:rsidR="002C5043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88 315,77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2C5043" w:rsidRPr="00D178EB" w:rsidTr="003715BF">
        <w:tc>
          <w:tcPr>
            <w:tcW w:w="959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542 238,69</w:t>
            </w:r>
          </w:p>
        </w:tc>
        <w:tc>
          <w:tcPr>
            <w:tcW w:w="1843" w:type="dxa"/>
          </w:tcPr>
          <w:p w:rsidR="002C5043" w:rsidRPr="005545B7" w:rsidRDefault="00352FD7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26 33</w:t>
            </w:r>
            <w:r w:rsidR="002C5043">
              <w:rPr>
                <w:b/>
                <w:color w:val="000000" w:themeColor="text1"/>
                <w:sz w:val="24"/>
                <w:szCs w:val="24"/>
              </w:rPr>
              <w:t>8,70</w:t>
            </w:r>
          </w:p>
        </w:tc>
        <w:tc>
          <w:tcPr>
            <w:tcW w:w="1843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56 674,23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403 742,20</w:t>
            </w:r>
          </w:p>
        </w:tc>
        <w:tc>
          <w:tcPr>
            <w:tcW w:w="1701" w:type="dxa"/>
            <w:shd w:val="clear" w:color="auto" w:fill="auto"/>
          </w:tcPr>
          <w:p w:rsidR="002C5043" w:rsidRPr="005545B7" w:rsidRDefault="002C5043" w:rsidP="003715BF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55 483,53</w:t>
            </w:r>
          </w:p>
        </w:tc>
      </w:tr>
    </w:tbl>
    <w:p w:rsidR="00A0279B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:rsidR="0015098B" w:rsidRPr="005545B7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9B4B6B">
        <w:rPr>
          <w:color w:val="000000" w:themeColor="text1"/>
          <w:sz w:val="28"/>
          <w:szCs w:val="28"/>
        </w:rPr>
        <w:t>1</w:t>
      </w:r>
      <w:r w:rsidR="0015098B" w:rsidRPr="005545B7">
        <w:rPr>
          <w:color w:val="000000" w:themeColor="text1"/>
          <w:sz w:val="28"/>
          <w:szCs w:val="28"/>
        </w:rPr>
        <w:t xml:space="preserve">.3. Изложить Приложение </w:t>
      </w:r>
      <w:r>
        <w:rPr>
          <w:color w:val="000000" w:themeColor="text1"/>
          <w:sz w:val="28"/>
          <w:szCs w:val="28"/>
        </w:rPr>
        <w:t>4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в редакции Приложения 1 к настоящему постановлению. 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15098B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15098B" w:rsidRPr="00123A7D">
        <w:rPr>
          <w:color w:val="000000"/>
          <w:sz w:val="28"/>
          <w:szCs w:val="28"/>
        </w:rPr>
        <w:t xml:space="preserve"> Приморского края Леонтьеву Т.В.</w:t>
      </w: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15098B" w:rsidRDefault="0015098B" w:rsidP="0015098B">
      <w:pPr>
        <w:tabs>
          <w:tab w:val="left" w:pos="0"/>
        </w:tabs>
        <w:spacing w:line="360" w:lineRule="auto"/>
      </w:pPr>
    </w:p>
    <w:p w:rsidR="0015098B" w:rsidRDefault="0015098B" w:rsidP="0015098B"/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C74801">
      <w:headerReference w:type="even" r:id="rId8"/>
      <w:pgSz w:w="11906" w:h="16838" w:code="9"/>
      <w:pgMar w:top="851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E13" w:rsidRDefault="001B7E13">
      <w:r>
        <w:separator/>
      </w:r>
    </w:p>
  </w:endnote>
  <w:endnote w:type="continuationSeparator" w:id="0">
    <w:p w:rsidR="001B7E13" w:rsidRDefault="001B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E13" w:rsidRDefault="001B7E13">
      <w:r>
        <w:separator/>
      </w:r>
    </w:p>
  </w:footnote>
  <w:footnote w:type="continuationSeparator" w:id="0">
    <w:p w:rsidR="001B7E13" w:rsidRDefault="001B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1B7E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54"/>
    <w:rsid w:val="000005DB"/>
    <w:rsid w:val="00006885"/>
    <w:rsid w:val="000211D1"/>
    <w:rsid w:val="00081C31"/>
    <w:rsid w:val="000A1D1C"/>
    <w:rsid w:val="000A6E52"/>
    <w:rsid w:val="00103554"/>
    <w:rsid w:val="00104F0F"/>
    <w:rsid w:val="00110DF7"/>
    <w:rsid w:val="00137C68"/>
    <w:rsid w:val="0015098B"/>
    <w:rsid w:val="00172559"/>
    <w:rsid w:val="001B78C2"/>
    <w:rsid w:val="001B7E13"/>
    <w:rsid w:val="001C06C6"/>
    <w:rsid w:val="001C3358"/>
    <w:rsid w:val="00210BFB"/>
    <w:rsid w:val="0022202A"/>
    <w:rsid w:val="002223A8"/>
    <w:rsid w:val="002C5043"/>
    <w:rsid w:val="00321D83"/>
    <w:rsid w:val="00352FD7"/>
    <w:rsid w:val="00354DEC"/>
    <w:rsid w:val="003C2F59"/>
    <w:rsid w:val="003C70AF"/>
    <w:rsid w:val="003F542B"/>
    <w:rsid w:val="0042044E"/>
    <w:rsid w:val="00474AA7"/>
    <w:rsid w:val="00486CDF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E1C9B"/>
    <w:rsid w:val="005F7AD4"/>
    <w:rsid w:val="006114DB"/>
    <w:rsid w:val="00656B9A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B254E"/>
    <w:rsid w:val="00900016"/>
    <w:rsid w:val="00925082"/>
    <w:rsid w:val="00936400"/>
    <w:rsid w:val="00945AD9"/>
    <w:rsid w:val="00954ADF"/>
    <w:rsid w:val="009653CF"/>
    <w:rsid w:val="009B4B6B"/>
    <w:rsid w:val="009F79FE"/>
    <w:rsid w:val="00A0279B"/>
    <w:rsid w:val="00A50258"/>
    <w:rsid w:val="00A83EB0"/>
    <w:rsid w:val="00A90F14"/>
    <w:rsid w:val="00A94214"/>
    <w:rsid w:val="00AD4B12"/>
    <w:rsid w:val="00AE3F72"/>
    <w:rsid w:val="00B05C0D"/>
    <w:rsid w:val="00B46C96"/>
    <w:rsid w:val="00B74F7C"/>
    <w:rsid w:val="00B93141"/>
    <w:rsid w:val="00C41DE1"/>
    <w:rsid w:val="00C4726D"/>
    <w:rsid w:val="00C50155"/>
    <w:rsid w:val="00C6503D"/>
    <w:rsid w:val="00C66D76"/>
    <w:rsid w:val="00C74801"/>
    <w:rsid w:val="00CD3B42"/>
    <w:rsid w:val="00CF7EC9"/>
    <w:rsid w:val="00D178EB"/>
    <w:rsid w:val="00D35CA8"/>
    <w:rsid w:val="00DA6D0A"/>
    <w:rsid w:val="00E56D4D"/>
    <w:rsid w:val="00E62723"/>
    <w:rsid w:val="00E85D17"/>
    <w:rsid w:val="00E87DAE"/>
    <w:rsid w:val="00EA7F07"/>
    <w:rsid w:val="00EC62F0"/>
    <w:rsid w:val="00ED741F"/>
    <w:rsid w:val="00F00CA1"/>
    <w:rsid w:val="00F10C22"/>
    <w:rsid w:val="00F25BA3"/>
    <w:rsid w:val="00F27D3C"/>
    <w:rsid w:val="00F451FC"/>
    <w:rsid w:val="00F47BAE"/>
    <w:rsid w:val="00F51A50"/>
    <w:rsid w:val="00F6368C"/>
    <w:rsid w:val="00F766F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B1468-7A43-4E25-92FB-FF8A8B57A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043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EvstifeevaEA</cp:lastModifiedBy>
  <cp:revision>13</cp:revision>
  <cp:lastPrinted>2024-04-15T04:08:00Z</cp:lastPrinted>
  <dcterms:created xsi:type="dcterms:W3CDTF">2024-04-12T04:28:00Z</dcterms:created>
  <dcterms:modified xsi:type="dcterms:W3CDTF">2024-07-26T00:51:00Z</dcterms:modified>
</cp:coreProperties>
</file>