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sz w:val="26"/>
          <w:szCs w:val="26"/>
        </w:rPr>
      </w:pPr>
      <w:r>
        <w:rPr/>
        <w:drawing>
          <wp:inline distT="0" distB="0" distL="0" distR="0">
            <wp:extent cx="670560" cy="830580"/>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 без вольной части"/>
                    <pic:cNvPicPr>
                      <a:picLocks noChangeAspect="1" noChangeArrowheads="1"/>
                    </pic:cNvPicPr>
                  </pic:nvPicPr>
                  <pic:blipFill>
                    <a:blip r:embed="rId2"/>
                    <a:stretch>
                      <a:fillRect/>
                    </a:stretch>
                  </pic:blipFill>
                  <pic:spPr bwMode="auto">
                    <a:xfrm>
                      <a:off x="0" y="0"/>
                      <a:ext cx="670560" cy="830580"/>
                    </a:xfrm>
                    <a:prstGeom prst="rect">
                      <a:avLst/>
                    </a:prstGeom>
                  </pic:spPr>
                </pic:pic>
              </a:graphicData>
            </a:graphic>
          </wp:inline>
        </w:drawing>
      </w:r>
      <w:r>
        <mc:AlternateContent>
          <mc:Choice Requires="wps">
            <w:drawing>
              <wp:anchor behindDoc="0" distT="0" distB="0" distL="114300" distR="114300" simplePos="0" locked="0" layoutInCell="0" allowOverlap="1" relativeHeight="3">
                <wp:simplePos x="0" y="0"/>
                <wp:positionH relativeFrom="column">
                  <wp:posOffset>4251325</wp:posOffset>
                </wp:positionH>
                <wp:positionV relativeFrom="paragraph">
                  <wp:posOffset>-39370</wp:posOffset>
                </wp:positionV>
                <wp:extent cx="1849120" cy="993775"/>
                <wp:effectExtent l="0" t="0" r="0" b="0"/>
                <wp:wrapNone/>
                <wp:docPr id="2" name="Врезка1"/>
                <a:graphic xmlns:a="http://schemas.openxmlformats.org/drawingml/2006/main">
                  <a:graphicData uri="http://schemas.microsoft.com/office/word/2010/wordprocessingShape">
                    <wps:wsp>
                      <wps:cNvSpPr txBox="1"/>
                      <wps:spPr>
                        <a:xfrm>
                          <a:off x="0" y="0"/>
                          <a:ext cx="1849120" cy="993775"/>
                        </a:xfrm>
                        <a:prstGeom prst="rect"/>
                        <a:solidFill>
                          <a:srgbClr val="FFFFFF"/>
                        </a:solidFill>
                      </wps:spPr>
                      <wps:txbx>
                        <w:txbxContent>
                          <w:p>
                            <w:pPr>
                              <w:pStyle w:val="Style28"/>
                              <w:jc w:val="right"/>
                              <w:rPr>
                                <w:b/>
                                <w:b/>
                                <w:sz w:val="28"/>
                                <w:szCs w:val="28"/>
                              </w:rPr>
                            </w:pPr>
                            <w:r>
                              <w:rPr/>
                            </w:r>
                          </w:p>
                        </w:txbxContent>
                      </wps:txbx>
                      <wps:bodyPr anchor="t" lIns="91440" tIns="45720" rIns="91440" bIns="45720">
                        <a:noAutofit/>
                      </wps:bodyPr>
                    </wps:wsp>
                  </a:graphicData>
                </a:graphic>
              </wp:anchor>
            </w:drawing>
          </mc:Choice>
          <mc:Fallback>
            <w:pict>
              <v:rect fillcolor="#FFFFFF" stroked="f" strokeweight="0pt" style="position:absolute;rotation:-0;width:145.6pt;height:78.25pt;mso-wrap-distance-left:9pt;mso-wrap-distance-right:9pt;mso-wrap-distance-top:0pt;mso-wrap-distance-bottom:0pt;margin-top:-3.1pt;mso-position-vertical-relative:text;margin-left:334.75pt;mso-position-horizontal-relative:text">
                <v:textbox>
                  <w:txbxContent>
                    <w:p>
                      <w:pPr>
                        <w:pStyle w:val="Style28"/>
                        <w:jc w:val="right"/>
                        <w:rPr>
                          <w:b/>
                          <w:b/>
                          <w:sz w:val="28"/>
                          <w:szCs w:val="28"/>
                        </w:rPr>
                      </w:pPr>
                      <w:r>
                        <w:rPr/>
                      </w:r>
                    </w:p>
                  </w:txbxContent>
                </v:textbox>
                <w10:wrap type="none"/>
              </v:rect>
            </w:pict>
          </mc:Fallback>
        </mc:AlternateContent>
      </w:r>
    </w:p>
    <w:p>
      <w:pPr>
        <w:pStyle w:val="Normal"/>
        <w:jc w:val="center"/>
        <w:rPr>
          <w:b/>
          <w:b/>
          <w:sz w:val="26"/>
          <w:szCs w:val="26"/>
        </w:rPr>
      </w:pPr>
      <w:r>
        <w:rPr>
          <w:b/>
          <w:sz w:val="26"/>
          <w:szCs w:val="26"/>
        </w:rPr>
      </w:r>
    </w:p>
    <w:p>
      <w:pPr>
        <w:pStyle w:val="Normal"/>
        <w:jc w:val="center"/>
        <w:rPr>
          <w:sz w:val="28"/>
          <w:szCs w:val="28"/>
        </w:rPr>
      </w:pPr>
      <w:r>
        <w:rPr>
          <w:b/>
          <w:sz w:val="28"/>
          <w:szCs w:val="28"/>
        </w:rPr>
        <w:t>ДУМА</w:t>
      </w:r>
    </w:p>
    <w:p>
      <w:pPr>
        <w:pStyle w:val="Normal"/>
        <w:jc w:val="center"/>
        <w:rPr>
          <w:b/>
          <w:b/>
          <w:sz w:val="28"/>
          <w:szCs w:val="28"/>
        </w:rPr>
      </w:pPr>
      <w:r>
        <w:rPr>
          <w:b/>
          <w:sz w:val="28"/>
          <w:szCs w:val="28"/>
        </w:rPr>
        <w:t>ПОЖАРСКОГО МУНИЦИПАЛЬНОГО ОКРУГА</w:t>
      </w:r>
    </w:p>
    <w:p>
      <w:pPr>
        <w:pStyle w:val="Normal"/>
        <w:jc w:val="center"/>
        <w:rPr>
          <w:sz w:val="28"/>
          <w:szCs w:val="28"/>
        </w:rPr>
      </w:pPr>
      <w:r>
        <w:rPr>
          <w:sz w:val="28"/>
          <w:szCs w:val="28"/>
        </w:rPr>
      </w:r>
    </w:p>
    <w:p>
      <w:pPr>
        <w:pStyle w:val="Normal"/>
        <w:jc w:val="center"/>
        <w:rPr>
          <w:b/>
          <w:b/>
          <w:sz w:val="28"/>
          <w:szCs w:val="28"/>
        </w:rPr>
      </w:pPr>
      <w:r>
        <w:rPr>
          <w:b/>
          <w:sz w:val="28"/>
          <w:szCs w:val="28"/>
        </w:rPr>
        <w:t>НОРМАТИВНЫЙ ПРАВОВОЙ АКТ</w:t>
      </w:r>
    </w:p>
    <w:p>
      <w:pPr>
        <w:pStyle w:val="Normal"/>
        <w:rPr>
          <w:b/>
          <w:b/>
          <w:sz w:val="28"/>
          <w:szCs w:val="28"/>
        </w:rPr>
      </w:pPr>
      <w:r>
        <w:rPr>
          <w:b/>
          <w:sz w:val="28"/>
          <w:szCs w:val="28"/>
        </w:rPr>
      </w:r>
    </w:p>
    <w:p>
      <w:pPr>
        <w:pStyle w:val="Normal"/>
        <w:jc w:val="both"/>
        <w:rPr>
          <w:sz w:val="28"/>
          <w:szCs w:val="28"/>
        </w:rPr>
      </w:pPr>
      <w:r>
        <w:rPr>
          <w:sz w:val="28"/>
          <w:szCs w:val="28"/>
        </w:rPr>
        <w:t xml:space="preserve">«31» </w:t>
      </w:r>
      <w:r>
        <w:rPr>
          <w:sz w:val="28"/>
          <w:szCs w:val="28"/>
        </w:rPr>
        <w:t>октября</w:t>
      </w:r>
      <w:r>
        <w:rPr>
          <w:sz w:val="28"/>
          <w:szCs w:val="28"/>
        </w:rPr>
        <w:t xml:space="preserve"> 2023 года                 пгт Лучегорск                                   №</w:t>
      </w:r>
      <w:bookmarkStart w:id="0" w:name="_GoBack"/>
      <w:bookmarkEnd w:id="0"/>
      <w:r>
        <w:rPr>
          <w:sz w:val="28"/>
          <w:szCs w:val="28"/>
        </w:rPr>
        <w:t xml:space="preserve"> 171-НПА</w:t>
      </w:r>
    </w:p>
    <w:p>
      <w:pPr>
        <w:pStyle w:val="Normal"/>
        <w:spacing w:lineRule="auto" w:line="360"/>
        <w:jc w:val="both"/>
        <w:rPr>
          <w:sz w:val="26"/>
        </w:rPr>
      </w:pPr>
      <w:r>
        <w:rPr>
          <w:sz w:val="26"/>
        </w:rPr>
      </w:r>
    </w:p>
    <w:p>
      <w:pPr>
        <w:pStyle w:val="Normal"/>
        <w:jc w:val="center"/>
        <w:rPr>
          <w:b/>
          <w:b/>
          <w:sz w:val="28"/>
          <w:szCs w:val="28"/>
        </w:rPr>
      </w:pPr>
      <w:r>
        <w:rPr>
          <w:b/>
          <w:sz w:val="28"/>
          <w:szCs w:val="28"/>
        </w:rPr>
        <w:t>Об утверждении «Программы приватизации имущества Пожарского муниципального округа на 2024 год»</w:t>
      </w:r>
    </w:p>
    <w:p>
      <w:pPr>
        <w:pStyle w:val="Normal"/>
        <w:jc w:val="center"/>
        <w:rPr/>
      </w:pPr>
      <w:r>
        <w:rPr/>
      </w:r>
    </w:p>
    <w:p>
      <w:pPr>
        <w:pStyle w:val="Normal"/>
        <w:jc w:val="center"/>
        <w:rPr>
          <w:sz w:val="28"/>
          <w:szCs w:val="28"/>
        </w:rPr>
      </w:pPr>
      <w:r>
        <w:rPr>
          <w:sz w:val="28"/>
          <w:szCs w:val="28"/>
        </w:rPr>
      </w:r>
    </w:p>
    <w:p>
      <w:pPr>
        <w:pStyle w:val="Normal"/>
        <w:jc w:val="center"/>
        <w:rPr>
          <w:sz w:val="28"/>
          <w:szCs w:val="28"/>
        </w:rPr>
      </w:pPr>
      <w:r>
        <w:rPr>
          <w:sz w:val="28"/>
          <w:szCs w:val="28"/>
        </w:rPr>
        <w:t>Принят Думой Пожарского муниципального округа «31» октября 2023 года</w:t>
      </w:r>
    </w:p>
    <w:p>
      <w:pPr>
        <w:pStyle w:val="Normal"/>
        <w:spacing w:lineRule="auto" w:line="360"/>
        <w:ind w:firstLine="720"/>
        <w:jc w:val="both"/>
        <w:rPr>
          <w:sz w:val="28"/>
          <w:szCs w:val="28"/>
        </w:rPr>
      </w:pPr>
      <w:r>
        <w:rPr>
          <w:sz w:val="28"/>
          <w:szCs w:val="28"/>
        </w:rPr>
      </w:r>
    </w:p>
    <w:p>
      <w:pPr>
        <w:pStyle w:val="Style19"/>
        <w:ind w:firstLine="851"/>
        <w:jc w:val="both"/>
        <w:rPr>
          <w:sz w:val="28"/>
          <w:szCs w:val="28"/>
        </w:rPr>
      </w:pPr>
      <w:r>
        <w:rPr>
          <w:sz w:val="28"/>
          <w:szCs w:val="28"/>
        </w:rPr>
        <w:t>В соответствии с Федеральным законом от 21 декабря 2001 года № 178-ФЗ «О приватизации государственного и муниципального имущества»</w:t>
      </w:r>
    </w:p>
    <w:p>
      <w:pPr>
        <w:pStyle w:val="Style19"/>
        <w:ind w:firstLine="709"/>
        <w:jc w:val="center"/>
        <w:rPr>
          <w:sz w:val="28"/>
          <w:szCs w:val="28"/>
        </w:rPr>
      </w:pPr>
      <w:r>
        <w:rPr>
          <w:sz w:val="28"/>
          <w:szCs w:val="28"/>
        </w:rPr>
      </w:r>
    </w:p>
    <w:p>
      <w:pPr>
        <w:pStyle w:val="Style19"/>
        <w:spacing w:lineRule="auto" w:line="240"/>
        <w:ind w:left="1069" w:hanging="0"/>
        <w:rPr>
          <w:sz w:val="28"/>
          <w:szCs w:val="28"/>
        </w:rPr>
      </w:pPr>
      <w:r>
        <w:rPr>
          <w:sz w:val="28"/>
          <w:szCs w:val="28"/>
        </w:rPr>
      </w:r>
    </w:p>
    <w:p>
      <w:pPr>
        <w:pStyle w:val="Normal"/>
        <w:spacing w:lineRule="auto" w:line="360"/>
        <w:ind w:firstLine="851"/>
        <w:jc w:val="both"/>
        <w:rPr>
          <w:sz w:val="28"/>
          <w:szCs w:val="28"/>
        </w:rPr>
      </w:pPr>
      <w:r>
        <w:rPr>
          <w:sz w:val="28"/>
          <w:szCs w:val="28"/>
        </w:rPr>
        <w:t>1. Утвердить прилагаемую Программу приватизации имущества Пожарского муниципального округа на 2024 год.</w:t>
      </w:r>
    </w:p>
    <w:p>
      <w:pPr>
        <w:pStyle w:val="NoSpacing"/>
        <w:spacing w:lineRule="auto" w:line="360"/>
        <w:ind w:firstLine="851"/>
        <w:jc w:val="both"/>
        <w:rPr>
          <w:rFonts w:ascii="Times New Roman" w:hAnsi="Times New Roman" w:cs="Times New Roman"/>
          <w:sz w:val="28"/>
          <w:szCs w:val="28"/>
        </w:rPr>
      </w:pPr>
      <w:r>
        <w:rPr>
          <w:rFonts w:cs="Times New Roman" w:ascii="Times New Roman" w:hAnsi="Times New Roman"/>
          <w:sz w:val="28"/>
          <w:szCs w:val="28"/>
        </w:rPr>
        <w:t>2. Настоящий нормативный правовой акт вступает в силу со дня его опубликования в газете «Победа».</w:t>
      </w:r>
    </w:p>
    <w:p>
      <w:pPr>
        <w:pStyle w:val="Normal"/>
        <w:spacing w:lineRule="auto" w:line="360"/>
        <w:ind w:firstLine="851"/>
        <w:jc w:val="both"/>
        <w:rPr>
          <w:sz w:val="28"/>
          <w:szCs w:val="28"/>
        </w:rPr>
      </w:pPr>
      <w:r>
        <w:rPr>
          <w:sz w:val="28"/>
          <w:szCs w:val="28"/>
        </w:rPr>
      </w:r>
    </w:p>
    <w:p>
      <w:pPr>
        <w:pStyle w:val="Normal"/>
        <w:spacing w:lineRule="auto" w:line="360"/>
        <w:ind w:firstLine="851"/>
        <w:jc w:val="both"/>
        <w:rPr>
          <w:sz w:val="28"/>
          <w:szCs w:val="28"/>
        </w:rPr>
      </w:pPr>
      <w:r>
        <w:rPr>
          <w:sz w:val="28"/>
          <w:szCs w:val="28"/>
        </w:rPr>
      </w:r>
    </w:p>
    <w:p>
      <w:pPr>
        <w:pStyle w:val="Normal"/>
        <w:spacing w:lineRule="auto" w:line="360"/>
        <w:jc w:val="both"/>
        <w:rPr>
          <w:sz w:val="28"/>
          <w:szCs w:val="28"/>
        </w:rPr>
      </w:pPr>
      <w:r>
        <w:rPr>
          <w:sz w:val="28"/>
          <w:szCs w:val="28"/>
        </w:rPr>
        <w:t>Глава Пожарского муниципального округа                                           В.М. Козак</w:t>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p>
      <w:pPr>
        <w:pStyle w:val="Normal"/>
        <w:spacing w:lineRule="auto" w:line="360"/>
        <w:jc w:val="both"/>
        <w:rPr>
          <w:sz w:val="28"/>
          <w:szCs w:val="28"/>
        </w:rPr>
      </w:pPr>
      <w:r>
        <w:rPr>
          <w:sz w:val="28"/>
          <w:szCs w:val="28"/>
        </w:rPr>
      </w:r>
    </w:p>
    <w:tbl>
      <w:tblPr>
        <w:tblW w:w="9853" w:type="dxa"/>
        <w:jc w:val="left"/>
        <w:tblInd w:w="0" w:type="dxa"/>
        <w:tblLayout w:type="fixed"/>
        <w:tblCellMar>
          <w:top w:w="0" w:type="dxa"/>
          <w:left w:w="108" w:type="dxa"/>
          <w:bottom w:w="0" w:type="dxa"/>
          <w:right w:w="108" w:type="dxa"/>
        </w:tblCellMar>
        <w:tblLook w:val="04a0"/>
      </w:tblPr>
      <w:tblGrid>
        <w:gridCol w:w="4926"/>
        <w:gridCol w:w="4926"/>
      </w:tblGrid>
      <w:tr>
        <w:trPr/>
        <w:tc>
          <w:tcPr>
            <w:tcW w:w="4926" w:type="dxa"/>
            <w:tcBorders/>
            <w:shd w:color="auto" w:fill="auto" w:val="clear"/>
          </w:tcPr>
          <w:p>
            <w:pPr>
              <w:pStyle w:val="Normal"/>
              <w:widowControl w:val="false"/>
              <w:jc w:val="right"/>
              <w:rPr>
                <w:sz w:val="28"/>
                <w:szCs w:val="28"/>
              </w:rPr>
            </w:pPr>
            <w:r>
              <w:rPr>
                <w:sz w:val="28"/>
                <w:szCs w:val="28"/>
              </w:rPr>
            </w:r>
          </w:p>
        </w:tc>
        <w:tc>
          <w:tcPr>
            <w:tcW w:w="4926" w:type="dxa"/>
            <w:tcBorders/>
            <w:shd w:color="auto" w:fill="auto" w:val="clear"/>
          </w:tcPr>
          <w:p>
            <w:pPr>
              <w:pStyle w:val="Normal"/>
              <w:widowControl w:val="false"/>
              <w:jc w:val="center"/>
              <w:rPr>
                <w:sz w:val="28"/>
                <w:szCs w:val="28"/>
              </w:rPr>
            </w:pPr>
            <w:r>
              <w:rPr>
                <w:sz w:val="28"/>
                <w:szCs w:val="28"/>
              </w:rPr>
              <w:t xml:space="preserve">Приложение </w:t>
            </w:r>
          </w:p>
          <w:p>
            <w:pPr>
              <w:pStyle w:val="Normal"/>
              <w:widowControl w:val="false"/>
              <w:jc w:val="center"/>
              <w:rPr>
                <w:sz w:val="28"/>
                <w:szCs w:val="28"/>
              </w:rPr>
            </w:pPr>
            <w:r>
              <w:rPr>
                <w:sz w:val="28"/>
                <w:szCs w:val="28"/>
              </w:rPr>
              <w:t xml:space="preserve">к нормативному правовому акту </w:t>
            </w:r>
          </w:p>
          <w:p>
            <w:pPr>
              <w:pStyle w:val="Normal"/>
              <w:widowControl w:val="false"/>
              <w:jc w:val="center"/>
              <w:rPr>
                <w:sz w:val="28"/>
                <w:szCs w:val="28"/>
              </w:rPr>
            </w:pPr>
            <w:r>
              <w:rPr>
                <w:sz w:val="28"/>
                <w:szCs w:val="28"/>
              </w:rPr>
              <w:t>Думы Пожарского муниципального округа Приморского края</w:t>
            </w:r>
          </w:p>
          <w:p>
            <w:pPr>
              <w:pStyle w:val="Normal"/>
              <w:widowControl w:val="false"/>
              <w:tabs>
                <w:tab w:val="clear" w:pos="720"/>
                <w:tab w:val="left" w:pos="5220" w:leader="none"/>
                <w:tab w:val="left" w:pos="7095" w:leader="none"/>
              </w:tabs>
              <w:jc w:val="center"/>
              <w:rPr>
                <w:sz w:val="28"/>
                <w:szCs w:val="28"/>
              </w:rPr>
            </w:pPr>
            <w:r>
              <w:rPr>
                <w:sz w:val="28"/>
                <w:szCs w:val="28"/>
              </w:rPr>
              <w:t>от ____________ года № _____-НПА</w:t>
            </w:r>
          </w:p>
          <w:p>
            <w:pPr>
              <w:pStyle w:val="Normal"/>
              <w:widowControl w:val="false"/>
              <w:tabs>
                <w:tab w:val="clear" w:pos="720"/>
                <w:tab w:val="left" w:pos="5220" w:leader="none"/>
                <w:tab w:val="left" w:pos="7095" w:leader="none"/>
              </w:tabs>
              <w:rPr/>
            </w:pPr>
            <w:r>
              <w:rPr/>
            </w:r>
          </w:p>
          <w:p>
            <w:pPr>
              <w:pStyle w:val="Normal"/>
              <w:widowControl w:val="false"/>
              <w:jc w:val="right"/>
              <w:rPr>
                <w:sz w:val="28"/>
                <w:szCs w:val="28"/>
              </w:rPr>
            </w:pPr>
            <w:r>
              <w:rPr>
                <w:sz w:val="28"/>
                <w:szCs w:val="28"/>
              </w:rPr>
            </w:r>
          </w:p>
        </w:tc>
      </w:tr>
    </w:tbl>
    <w:p>
      <w:pPr>
        <w:pStyle w:val="Normal"/>
        <w:jc w:val="center"/>
        <w:rPr>
          <w:b/>
          <w:b/>
          <w:sz w:val="28"/>
          <w:szCs w:val="28"/>
        </w:rPr>
      </w:pPr>
      <w:r>
        <w:rPr>
          <w:b/>
          <w:sz w:val="28"/>
          <w:szCs w:val="28"/>
        </w:rPr>
        <w:t xml:space="preserve">Программа приватизации имущества </w:t>
      </w:r>
    </w:p>
    <w:p>
      <w:pPr>
        <w:pStyle w:val="Normal"/>
        <w:jc w:val="center"/>
        <w:rPr>
          <w:b/>
          <w:b/>
          <w:sz w:val="28"/>
          <w:szCs w:val="28"/>
        </w:rPr>
      </w:pPr>
      <w:r>
        <w:rPr>
          <w:b/>
          <w:sz w:val="28"/>
          <w:szCs w:val="28"/>
        </w:rPr>
        <w:t>Пожарского муниципального округа на 2024 год</w:t>
      </w:r>
    </w:p>
    <w:p>
      <w:pPr>
        <w:pStyle w:val="Normal"/>
        <w:jc w:val="center"/>
        <w:rPr>
          <w:sz w:val="28"/>
          <w:szCs w:val="28"/>
        </w:rPr>
      </w:pPr>
      <w:r>
        <w:rPr>
          <w:sz w:val="28"/>
          <w:szCs w:val="28"/>
        </w:rPr>
      </w:r>
    </w:p>
    <w:p>
      <w:pPr>
        <w:pStyle w:val="Style19"/>
        <w:numPr>
          <w:ilvl w:val="0"/>
          <w:numId w:val="1"/>
        </w:numPr>
        <w:spacing w:lineRule="auto" w:line="240"/>
        <w:ind w:left="0" w:hanging="0"/>
        <w:jc w:val="center"/>
        <w:rPr>
          <w:b/>
          <w:b/>
          <w:sz w:val="28"/>
          <w:szCs w:val="28"/>
        </w:rPr>
      </w:pPr>
      <w:r>
        <w:rPr>
          <w:b/>
          <w:sz w:val="28"/>
          <w:szCs w:val="28"/>
        </w:rPr>
        <w:t>Общие положения</w:t>
      </w:r>
    </w:p>
    <w:p>
      <w:pPr>
        <w:pStyle w:val="Normal"/>
        <w:ind w:firstLine="851"/>
        <w:jc w:val="both"/>
        <w:rPr>
          <w:b/>
          <w:b/>
          <w:sz w:val="28"/>
          <w:szCs w:val="28"/>
        </w:rPr>
      </w:pPr>
      <w:r>
        <w:rPr>
          <w:b/>
          <w:sz w:val="28"/>
          <w:szCs w:val="28"/>
        </w:rPr>
      </w:r>
    </w:p>
    <w:p>
      <w:pPr>
        <w:pStyle w:val="Normal"/>
        <w:spacing w:lineRule="auto" w:line="360"/>
        <w:ind w:firstLine="851"/>
        <w:jc w:val="both"/>
        <w:rPr>
          <w:sz w:val="28"/>
          <w:szCs w:val="28"/>
        </w:rPr>
      </w:pPr>
      <w:r>
        <w:rPr>
          <w:sz w:val="28"/>
          <w:szCs w:val="28"/>
        </w:rPr>
        <w:t>1.1. Под приватизацией муниципального имущества понимается возмездное отчуждение имущества, находящегося в собственности Пожарского муниципального округа, в собственность физических и (или) юридических лиц.</w:t>
      </w:r>
    </w:p>
    <w:p>
      <w:pPr>
        <w:pStyle w:val="Normal"/>
        <w:spacing w:lineRule="auto" w:line="360"/>
        <w:ind w:firstLine="851"/>
        <w:jc w:val="both"/>
        <w:rPr>
          <w:sz w:val="28"/>
          <w:szCs w:val="28"/>
        </w:rPr>
      </w:pPr>
      <w:r>
        <w:rPr>
          <w:sz w:val="28"/>
          <w:szCs w:val="28"/>
        </w:rPr>
        <w:t>1.2.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 Пожарского муниципального округа.</w:t>
      </w:r>
    </w:p>
    <w:p>
      <w:pPr>
        <w:pStyle w:val="Normal"/>
        <w:spacing w:lineRule="auto" w:line="360"/>
        <w:ind w:firstLine="851"/>
        <w:jc w:val="both"/>
        <w:rPr>
          <w:sz w:val="28"/>
          <w:szCs w:val="28"/>
        </w:rPr>
      </w:pPr>
      <w:r>
        <w:rPr>
          <w:sz w:val="28"/>
          <w:szCs w:val="28"/>
        </w:rPr>
        <w:t>1.3. Муниципальное имущество отчуждается в собственность физических и (или) юридических лиц исключительно на возмездной основе – за плату либо посредством передачи в собственность Пожарского муниципального округа акций акционерных обществ, в уставный капитал которых вносится муниципальное имущество, либо акций, долей в уставном капитале хозяйственных обществ, созданных путем преобразования муниципальных унитарных предприятий.</w:t>
      </w:r>
    </w:p>
    <w:p>
      <w:pPr>
        <w:pStyle w:val="Normal"/>
        <w:spacing w:lineRule="auto" w:line="360"/>
        <w:ind w:firstLine="851"/>
        <w:jc w:val="both"/>
        <w:rPr>
          <w:sz w:val="28"/>
          <w:szCs w:val="28"/>
        </w:rPr>
      </w:pPr>
      <w:r>
        <w:rPr>
          <w:sz w:val="28"/>
          <w:szCs w:val="28"/>
        </w:rPr>
        <w:t>1.4. Программа приватизации имущества Пожарского муниципального округа на 2024 год (далее – Программа) устанавливает состав приватизируемого имущества, способы приватизации, порядок отчуждения муниципального имущества, порядок распределения денежных средств, полученных в результате приватизации муниципального имущества.</w:t>
      </w:r>
    </w:p>
    <w:p>
      <w:pPr>
        <w:pStyle w:val="Normal"/>
        <w:spacing w:lineRule="auto" w:line="360"/>
        <w:ind w:firstLine="851"/>
        <w:jc w:val="both"/>
        <w:rPr>
          <w:sz w:val="28"/>
          <w:szCs w:val="28"/>
        </w:rPr>
      </w:pPr>
      <w:r>
        <w:rPr>
          <w:sz w:val="28"/>
          <w:szCs w:val="28"/>
        </w:rPr>
        <w:t>1.5. Полномочиями по проведению организационных мероприятий и осуществлению процедуры приватизации муниципального имущества наделен отдел имущественных и земельных отношений администрации Пожарского муниципального округа (далее – Отдел), таким образом, являясь продавцом муниципального имущества.</w:t>
      </w:r>
    </w:p>
    <w:p>
      <w:pPr>
        <w:pStyle w:val="Normal"/>
        <w:spacing w:lineRule="auto" w:line="360"/>
        <w:ind w:firstLine="851"/>
        <w:jc w:val="both"/>
        <w:rPr>
          <w:sz w:val="28"/>
          <w:szCs w:val="28"/>
        </w:rPr>
      </w:pPr>
      <w:r>
        <w:rPr>
          <w:sz w:val="28"/>
          <w:szCs w:val="28"/>
        </w:rPr>
      </w:r>
    </w:p>
    <w:p>
      <w:pPr>
        <w:pStyle w:val="Style19"/>
        <w:spacing w:lineRule="auto" w:line="240"/>
        <w:jc w:val="center"/>
        <w:rPr>
          <w:b/>
          <w:b/>
          <w:sz w:val="28"/>
          <w:szCs w:val="28"/>
        </w:rPr>
      </w:pPr>
      <w:r>
        <w:rPr>
          <w:b/>
          <w:sz w:val="28"/>
          <w:szCs w:val="28"/>
        </w:rPr>
        <w:t>2. Перечень муниципального имущества, подлежащего приватизации в 2024году, и условия приватизации муниципального имущества</w:t>
      </w:r>
    </w:p>
    <w:tbl>
      <w:tblPr>
        <w:tblW w:w="10065" w:type="dxa"/>
        <w:jc w:val="left"/>
        <w:tblInd w:w="250" w:type="dxa"/>
        <w:tblLayout w:type="fixed"/>
        <w:tblCellMar>
          <w:top w:w="0" w:type="dxa"/>
          <w:left w:w="108" w:type="dxa"/>
          <w:bottom w:w="0" w:type="dxa"/>
          <w:right w:w="108" w:type="dxa"/>
        </w:tblCellMar>
        <w:tblLook w:val="01e0"/>
      </w:tblPr>
      <w:tblGrid>
        <w:gridCol w:w="851"/>
        <w:gridCol w:w="2655"/>
        <w:gridCol w:w="37"/>
        <w:gridCol w:w="3262"/>
        <w:gridCol w:w="1842"/>
        <w:gridCol w:w="1418"/>
      </w:tblGrid>
      <w:tr>
        <w:trPr/>
        <w:tc>
          <w:tcPr>
            <w:tcW w:w="851" w:type="dxa"/>
            <w:tcBorders>
              <w:top w:val="single" w:sz="4" w:space="0" w:color="000000"/>
              <w:left w:val="single" w:sz="4" w:space="0" w:color="000000"/>
              <w:bottom w:val="single" w:sz="4" w:space="0" w:color="000000"/>
              <w:right w:val="single" w:sz="4" w:space="0" w:color="000000"/>
            </w:tcBorders>
          </w:tcPr>
          <w:p>
            <w:pPr>
              <w:pStyle w:val="Style19"/>
              <w:widowControl w:val="false"/>
              <w:jc w:val="center"/>
              <w:rPr>
                <w:sz w:val="28"/>
                <w:szCs w:val="28"/>
              </w:rPr>
            </w:pPr>
            <w:r>
              <w:rPr>
                <w:sz w:val="28"/>
                <w:szCs w:val="28"/>
              </w:rPr>
              <w:t xml:space="preserve">№ </w:t>
            </w:r>
            <w:r>
              <w:rPr>
                <w:sz w:val="28"/>
                <w:szCs w:val="28"/>
              </w:rPr>
              <w:t>п/п</w:t>
            </w:r>
          </w:p>
        </w:tc>
        <w:tc>
          <w:tcPr>
            <w:tcW w:w="2655" w:type="dxa"/>
            <w:tcBorders>
              <w:top w:val="single" w:sz="4" w:space="0" w:color="000000"/>
              <w:left w:val="single" w:sz="4" w:space="0" w:color="000000"/>
              <w:bottom w:val="single" w:sz="4" w:space="0" w:color="000000"/>
              <w:right w:val="single" w:sz="4" w:space="0" w:color="000000"/>
            </w:tcBorders>
          </w:tcPr>
          <w:p>
            <w:pPr>
              <w:pStyle w:val="Style19"/>
              <w:widowControl w:val="false"/>
              <w:spacing w:lineRule="auto" w:line="240"/>
              <w:jc w:val="center"/>
              <w:rPr>
                <w:sz w:val="28"/>
                <w:szCs w:val="28"/>
              </w:rPr>
            </w:pPr>
            <w:r>
              <w:rPr>
                <w:sz w:val="28"/>
                <w:szCs w:val="28"/>
              </w:rPr>
              <w:t>Наименование имущества, его основные характеристики</w:t>
            </w:r>
          </w:p>
        </w:tc>
        <w:tc>
          <w:tcPr>
            <w:tcW w:w="3299" w:type="dxa"/>
            <w:gridSpan w:val="2"/>
            <w:tcBorders>
              <w:top w:val="single" w:sz="4" w:space="0" w:color="000000"/>
              <w:left w:val="single" w:sz="4" w:space="0" w:color="000000"/>
              <w:bottom w:val="single" w:sz="4" w:space="0" w:color="000000"/>
              <w:right w:val="single" w:sz="4" w:space="0" w:color="000000"/>
            </w:tcBorders>
          </w:tcPr>
          <w:p>
            <w:pPr>
              <w:pStyle w:val="Style19"/>
              <w:widowControl w:val="false"/>
              <w:spacing w:lineRule="auto" w:line="240"/>
              <w:jc w:val="center"/>
              <w:rPr>
                <w:sz w:val="28"/>
                <w:szCs w:val="28"/>
              </w:rPr>
            </w:pPr>
            <w:r>
              <w:rPr>
                <w:sz w:val="28"/>
                <w:szCs w:val="28"/>
              </w:rPr>
              <w:t>Месторасположение имущества</w:t>
            </w:r>
          </w:p>
        </w:tc>
        <w:tc>
          <w:tcPr>
            <w:tcW w:w="1842" w:type="dxa"/>
            <w:tcBorders>
              <w:top w:val="single" w:sz="4" w:space="0" w:color="000000"/>
              <w:left w:val="single" w:sz="4" w:space="0" w:color="000000"/>
              <w:bottom w:val="single" w:sz="4" w:space="0" w:color="000000"/>
              <w:right w:val="single" w:sz="4" w:space="0" w:color="000000"/>
            </w:tcBorders>
          </w:tcPr>
          <w:p>
            <w:pPr>
              <w:pStyle w:val="Style19"/>
              <w:widowControl w:val="false"/>
              <w:spacing w:lineRule="auto" w:line="240"/>
              <w:jc w:val="center"/>
              <w:rPr>
                <w:sz w:val="28"/>
                <w:szCs w:val="28"/>
              </w:rPr>
            </w:pPr>
            <w:r>
              <w:rPr>
                <w:sz w:val="28"/>
                <w:szCs w:val="28"/>
              </w:rPr>
              <w:t>Способ приватизации</w:t>
            </w:r>
          </w:p>
        </w:tc>
        <w:tc>
          <w:tcPr>
            <w:tcW w:w="1418" w:type="dxa"/>
            <w:tcBorders>
              <w:top w:val="single" w:sz="4" w:space="0" w:color="000000"/>
              <w:left w:val="single" w:sz="4" w:space="0" w:color="000000"/>
              <w:bottom w:val="single" w:sz="4" w:space="0" w:color="000000"/>
              <w:right w:val="single" w:sz="4" w:space="0" w:color="000000"/>
            </w:tcBorders>
          </w:tcPr>
          <w:p>
            <w:pPr>
              <w:pStyle w:val="Style19"/>
              <w:widowControl w:val="false"/>
              <w:spacing w:lineRule="auto" w:line="240"/>
              <w:jc w:val="center"/>
              <w:rPr>
                <w:sz w:val="28"/>
                <w:szCs w:val="28"/>
              </w:rPr>
            </w:pPr>
            <w:r>
              <w:rPr>
                <w:sz w:val="28"/>
                <w:szCs w:val="28"/>
              </w:rPr>
              <w:t>Планируемый срок приватизации</w:t>
            </w:r>
          </w:p>
        </w:tc>
      </w:tr>
      <w:tr>
        <w:trPr>
          <w:trHeight w:val="331" w:hRule="atLeast"/>
        </w:trPr>
        <w:tc>
          <w:tcPr>
            <w:tcW w:w="851" w:type="dxa"/>
            <w:tcBorders>
              <w:top w:val="single" w:sz="4" w:space="0" w:color="000000"/>
              <w:left w:val="single" w:sz="4" w:space="0" w:color="000000"/>
              <w:bottom w:val="single" w:sz="4" w:space="0" w:color="000000"/>
              <w:right w:val="single" w:sz="4" w:space="0" w:color="000000"/>
            </w:tcBorders>
          </w:tcPr>
          <w:p>
            <w:pPr>
              <w:pStyle w:val="Style19"/>
              <w:widowControl w:val="false"/>
              <w:jc w:val="center"/>
              <w:rPr>
                <w:sz w:val="28"/>
                <w:szCs w:val="28"/>
              </w:rPr>
            </w:pPr>
            <w:r>
              <w:rPr>
                <w:sz w:val="28"/>
                <w:szCs w:val="28"/>
              </w:rPr>
              <w:t>1</w:t>
            </w:r>
          </w:p>
        </w:tc>
        <w:tc>
          <w:tcPr>
            <w:tcW w:w="2655" w:type="dxa"/>
            <w:tcBorders>
              <w:top w:val="single" w:sz="4" w:space="0" w:color="000000"/>
              <w:left w:val="single" w:sz="4" w:space="0" w:color="000000"/>
              <w:bottom w:val="single" w:sz="4" w:space="0" w:color="000000"/>
              <w:right w:val="single" w:sz="4" w:space="0" w:color="000000"/>
            </w:tcBorders>
          </w:tcPr>
          <w:p>
            <w:pPr>
              <w:pStyle w:val="Style19"/>
              <w:widowControl w:val="false"/>
              <w:spacing w:lineRule="auto" w:line="240"/>
              <w:jc w:val="center"/>
              <w:rPr>
                <w:sz w:val="28"/>
                <w:szCs w:val="28"/>
              </w:rPr>
            </w:pPr>
            <w:r>
              <w:rPr>
                <w:sz w:val="28"/>
                <w:szCs w:val="28"/>
              </w:rPr>
              <w:t>2</w:t>
            </w:r>
          </w:p>
        </w:tc>
        <w:tc>
          <w:tcPr>
            <w:tcW w:w="3299" w:type="dxa"/>
            <w:gridSpan w:val="2"/>
            <w:tcBorders>
              <w:top w:val="single" w:sz="4" w:space="0" w:color="000000"/>
              <w:left w:val="single" w:sz="4" w:space="0" w:color="000000"/>
              <w:bottom w:val="single" w:sz="4" w:space="0" w:color="000000"/>
              <w:right w:val="single" w:sz="4" w:space="0" w:color="000000"/>
            </w:tcBorders>
          </w:tcPr>
          <w:p>
            <w:pPr>
              <w:pStyle w:val="Style19"/>
              <w:widowControl w:val="false"/>
              <w:spacing w:lineRule="auto" w:line="240"/>
              <w:jc w:val="center"/>
              <w:rPr>
                <w:sz w:val="28"/>
                <w:szCs w:val="28"/>
              </w:rPr>
            </w:pPr>
            <w:r>
              <w:rPr>
                <w:sz w:val="28"/>
                <w:szCs w:val="28"/>
              </w:rPr>
              <w:t>3</w:t>
            </w:r>
          </w:p>
        </w:tc>
        <w:tc>
          <w:tcPr>
            <w:tcW w:w="1842" w:type="dxa"/>
            <w:tcBorders>
              <w:top w:val="single" w:sz="4" w:space="0" w:color="000000"/>
              <w:left w:val="single" w:sz="4" w:space="0" w:color="000000"/>
              <w:bottom w:val="single" w:sz="4" w:space="0" w:color="000000"/>
              <w:right w:val="single" w:sz="4" w:space="0" w:color="000000"/>
            </w:tcBorders>
          </w:tcPr>
          <w:p>
            <w:pPr>
              <w:pStyle w:val="Style19"/>
              <w:widowControl w:val="false"/>
              <w:spacing w:lineRule="auto" w:line="240"/>
              <w:jc w:val="center"/>
              <w:rPr>
                <w:sz w:val="28"/>
                <w:szCs w:val="28"/>
              </w:rPr>
            </w:pPr>
            <w:r>
              <w:rPr>
                <w:sz w:val="28"/>
                <w:szCs w:val="28"/>
              </w:rPr>
              <w:t>4</w:t>
            </w:r>
          </w:p>
        </w:tc>
        <w:tc>
          <w:tcPr>
            <w:tcW w:w="1418" w:type="dxa"/>
            <w:tcBorders>
              <w:top w:val="single" w:sz="4" w:space="0" w:color="000000"/>
              <w:left w:val="single" w:sz="4" w:space="0" w:color="000000"/>
              <w:bottom w:val="single" w:sz="4" w:space="0" w:color="000000"/>
              <w:right w:val="single" w:sz="4" w:space="0" w:color="000000"/>
            </w:tcBorders>
          </w:tcPr>
          <w:p>
            <w:pPr>
              <w:pStyle w:val="Style19"/>
              <w:widowControl w:val="false"/>
              <w:jc w:val="center"/>
              <w:rPr>
                <w:sz w:val="28"/>
                <w:szCs w:val="28"/>
              </w:rPr>
            </w:pPr>
            <w:r>
              <w:rPr>
                <w:sz w:val="28"/>
                <w:szCs w:val="28"/>
              </w:rPr>
              <w:t>5</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0" w:firstLine="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103, общей площадью 21,43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103</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0" w:firstLine="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104, общей площадью 21,43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104</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0" w:firstLine="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Жилые помещения 105, общей площадью 45,63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105</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0" w:firstLine="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106, общей площадью 22,2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106</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0" w:firstLine="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107, общей площадью 22,2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107</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0" w:firstLine="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108, общей площадью 22,2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108</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0"/>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помещение109, общей площадью 22,2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109</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0"/>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110, общей площадью 17,9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110</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0"/>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111, общей площадью 22,2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111</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0"/>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112, общей площадью 22,2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112</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Нежилое помещение</w:t>
            </w:r>
            <w:r>
              <w:rPr>
                <w:sz w:val="26"/>
                <w:szCs w:val="26"/>
                <w:lang w:val="en-US"/>
              </w:rPr>
              <w:t>VIII</w:t>
            </w:r>
            <w:r>
              <w:rPr>
                <w:sz w:val="26"/>
                <w:szCs w:val="26"/>
              </w:rPr>
              <w:t xml:space="preserve"> «Сушилка», общей площадью 16,7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«Сушилка»</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114, общей площадью 16,4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114</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34"/>
              <w:rPr>
                <w:sz w:val="26"/>
                <w:szCs w:val="26"/>
                <w:lang w:val="en-US"/>
              </w:rPr>
            </w:pPr>
            <w:r>
              <w:rPr>
                <w:sz w:val="26"/>
                <w:szCs w:val="26"/>
                <w:lang w:val="en-US"/>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Жилые помещения 115, общей площадью 50кв.м.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115</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34"/>
              <w:rPr>
                <w:sz w:val="26"/>
                <w:szCs w:val="26"/>
                <w:lang w:val="en-US"/>
              </w:rPr>
            </w:pPr>
            <w:r>
              <w:rPr>
                <w:sz w:val="26"/>
                <w:szCs w:val="26"/>
                <w:lang w:val="en-US"/>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116, общей площадью 16,4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116</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Жилое помещение 117, общей площадью 16,4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117</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34" w:hanging="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firstLine="175"/>
              <w:rPr>
                <w:sz w:val="26"/>
                <w:szCs w:val="26"/>
              </w:rPr>
            </w:pPr>
            <w:r>
              <w:rPr>
                <w:sz w:val="26"/>
                <w:szCs w:val="26"/>
              </w:rPr>
              <w:t>Жилые помещения 118, общей площадью 33,4 кв.м.</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Приморский край, Пожарский район, с. Светлогорье, 1 мкр., пом. 118</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0" w:firstLine="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6"/>
                <w:szCs w:val="26"/>
              </w:rPr>
            </w:pPr>
            <w:r>
              <w:rPr>
                <w:sz w:val="26"/>
                <w:szCs w:val="26"/>
              </w:rPr>
              <w:t>Нежилое помещение (красный уголок)</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пгт Лучегорск, 2-й микрорайон,12, первый этаж</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Аукцион</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color w:val="000000"/>
                <w:sz w:val="26"/>
                <w:szCs w:val="26"/>
                <w:lang w:val="en-US"/>
              </w:rPr>
              <w:t xml:space="preserve">I-IV </w:t>
            </w:r>
            <w:r>
              <w:rPr>
                <w:color w:val="000000"/>
                <w:sz w:val="26"/>
                <w:szCs w:val="26"/>
              </w:rPr>
              <w:t>кварталы 2024 года</w:t>
            </w:r>
          </w:p>
        </w:tc>
      </w:tr>
      <w:tr>
        <w:trPr/>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numPr>
                <w:ilvl w:val="0"/>
                <w:numId w:val="2"/>
              </w:numPr>
              <w:spacing w:lineRule="auto" w:line="360"/>
              <w:ind w:left="0" w:firstLine="34"/>
              <w:rPr>
                <w:sz w:val="26"/>
                <w:szCs w:val="26"/>
              </w:rPr>
            </w:pPr>
            <w:r>
              <w:rPr>
                <w:sz w:val="26"/>
                <w:szCs w:val="26"/>
              </w:rPr>
            </w:r>
          </w:p>
        </w:tc>
        <w:tc>
          <w:tcPr>
            <w:tcW w:w="269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8"/>
                <w:szCs w:val="28"/>
              </w:rPr>
            </w:pPr>
            <w:r>
              <w:rPr>
                <w:sz w:val="28"/>
                <w:szCs w:val="28"/>
              </w:rPr>
              <w:t>Муниципальное унитарное предприятие Пожарского муниципального округа «Стоматологическая поликлиника»</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пгт Лучегорск, 4-й микрорайон, 3</w:t>
            </w:r>
          </w:p>
        </w:tc>
        <w:tc>
          <w:tcPr>
            <w:tcW w:w="18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6"/>
                <w:szCs w:val="26"/>
              </w:rPr>
            </w:pPr>
            <w:r>
              <w:rPr>
                <w:sz w:val="26"/>
                <w:szCs w:val="26"/>
              </w:rPr>
              <w:t>преобразование в общество с ограниченной ответственностью</w:t>
            </w:r>
          </w:p>
        </w:tc>
        <w:tc>
          <w:tcPr>
            <w:tcW w:w="14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color w:val="000000"/>
                <w:sz w:val="26"/>
                <w:szCs w:val="26"/>
              </w:rPr>
            </w:pPr>
            <w:r>
              <w:rPr>
                <w:color w:val="000000"/>
                <w:sz w:val="26"/>
                <w:szCs w:val="26"/>
                <w:lang w:val="en-US"/>
              </w:rPr>
              <w:t xml:space="preserve">I-IV </w:t>
            </w:r>
            <w:r>
              <w:rPr>
                <w:color w:val="000000"/>
                <w:sz w:val="26"/>
                <w:szCs w:val="26"/>
              </w:rPr>
              <w:t>кварталы 2024 года</w:t>
            </w:r>
          </w:p>
        </w:tc>
      </w:tr>
    </w:tbl>
    <w:p>
      <w:pPr>
        <w:pStyle w:val="Normal"/>
        <w:tabs>
          <w:tab w:val="clear" w:pos="720"/>
          <w:tab w:val="left" w:pos="0" w:leader="none"/>
          <w:tab w:val="left" w:pos="578" w:leader="none"/>
        </w:tabs>
        <w:suppressAutoHyphens w:val="true"/>
        <w:spacing w:lineRule="auto" w:line="360"/>
        <w:ind w:firstLine="709"/>
        <w:jc w:val="both"/>
        <w:rPr>
          <w:sz w:val="28"/>
          <w:szCs w:val="28"/>
        </w:rPr>
      </w:pPr>
      <w:r>
        <w:rPr>
          <w:sz w:val="28"/>
          <w:szCs w:val="28"/>
        </w:rPr>
      </w:r>
    </w:p>
    <w:p>
      <w:pPr>
        <w:pStyle w:val="Normal"/>
        <w:tabs>
          <w:tab w:val="clear" w:pos="720"/>
          <w:tab w:val="left" w:pos="0" w:leader="none"/>
          <w:tab w:val="left" w:pos="578" w:leader="none"/>
        </w:tabs>
        <w:suppressAutoHyphens w:val="true"/>
        <w:spacing w:lineRule="auto" w:line="360"/>
        <w:ind w:firstLine="709"/>
        <w:jc w:val="both"/>
        <w:rPr>
          <w:sz w:val="28"/>
          <w:szCs w:val="28"/>
        </w:rPr>
      </w:pPr>
      <w:r>
        <w:rPr>
          <w:sz w:val="28"/>
          <w:szCs w:val="28"/>
        </w:rPr>
        <w:t>2.1. Начальная цена подлежащего приватизации муниципального имущества устанавливается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Российской Федерации в сети «Интернет», определенном Правительством Российской Федерации (</w:t>
      </w:r>
      <w:r>
        <w:rPr>
          <w:sz w:val="28"/>
          <w:szCs w:val="28"/>
          <w:lang w:val="en-US"/>
        </w:rPr>
        <w:t>http</w:t>
      </w:r>
      <w:r>
        <w:rPr>
          <w:sz w:val="28"/>
          <w:szCs w:val="28"/>
        </w:rPr>
        <w:t>://</w:t>
      </w:r>
      <w:r>
        <w:rPr>
          <w:sz w:val="28"/>
          <w:szCs w:val="28"/>
          <w:lang w:val="en-US"/>
        </w:rPr>
        <w:t>torgi</w:t>
      </w:r>
      <w:r>
        <w:rPr>
          <w:sz w:val="28"/>
          <w:szCs w:val="28"/>
        </w:rPr>
        <w:t>.</w:t>
      </w:r>
      <w:r>
        <w:rPr>
          <w:sz w:val="28"/>
          <w:szCs w:val="28"/>
          <w:lang w:val="en-US"/>
        </w:rPr>
        <w:t>gov</w:t>
      </w:r>
      <w:r>
        <w:rPr>
          <w:sz w:val="28"/>
          <w:szCs w:val="28"/>
        </w:rPr>
        <w:t>.</w:t>
      </w:r>
      <w:r>
        <w:rPr>
          <w:sz w:val="28"/>
          <w:szCs w:val="28"/>
          <w:lang w:val="en-US"/>
        </w:rPr>
        <w:t>ru</w:t>
      </w:r>
      <w:r>
        <w:rPr>
          <w:sz w:val="28"/>
          <w:szCs w:val="28"/>
        </w:rPr>
        <w:t xml:space="preserve">), и на электронной площадке </w:t>
      </w:r>
      <w:r>
        <w:rPr>
          <w:rFonts w:eastAsia="Lucida Sans Unicode" w:cs="Liberation Serif" w:ascii="Liberation Serif" w:hAnsi="Liberation Serif"/>
          <w:kern w:val="2"/>
          <w:sz w:val="28"/>
          <w:szCs w:val="28"/>
          <w:lang w:eastAsia="ar-SA"/>
        </w:rPr>
        <w:t>ООО «РТС-тендер» (</w:t>
      </w:r>
      <w:r>
        <w:rPr>
          <w:rStyle w:val="Style17"/>
          <w:rFonts w:eastAsia="Lucida Sans Unicode" w:cs="Liberation Serif" w:ascii="Liberation Serif" w:hAnsi="Liberation Serif"/>
          <w:kern w:val="2"/>
          <w:sz w:val="28"/>
          <w:szCs w:val="28"/>
          <w:u w:val="none"/>
          <w:lang w:eastAsia="ar-SA"/>
        </w:rPr>
        <w:t>https://www.rts-tender.ru/</w:t>
      </w:r>
      <w:r>
        <w:rPr>
          <w:rFonts w:eastAsia="Lucida Sans Unicode" w:cs="Liberation Serif" w:ascii="Liberation Serif" w:hAnsi="Liberation Serif"/>
          <w:kern w:val="2"/>
          <w:sz w:val="28"/>
          <w:szCs w:val="28"/>
          <w:lang w:eastAsia="ar-SA"/>
        </w:rPr>
        <w:t xml:space="preserve">) </w:t>
      </w:r>
      <w:r>
        <w:rPr>
          <w:sz w:val="28"/>
          <w:szCs w:val="28"/>
        </w:rPr>
        <w:t>информационного сообщения о продаже государственного или муниципального имущества прошло не более чем шесть месяцев.</w:t>
      </w:r>
    </w:p>
    <w:p>
      <w:pPr>
        <w:pStyle w:val="Normal"/>
        <w:spacing w:lineRule="auto" w:line="360"/>
        <w:ind w:firstLine="851"/>
        <w:jc w:val="both"/>
        <w:rPr>
          <w:sz w:val="28"/>
          <w:szCs w:val="28"/>
        </w:rPr>
      </w:pPr>
      <w:r>
        <w:rPr>
          <w:sz w:val="28"/>
          <w:szCs w:val="28"/>
        </w:rPr>
        <w:t>Цена приватизируемого имущества определяется в постановлении администрации Пожарского муниципального округа Приморского края об условиях приватизации недвижимого либо движимого имущества. Постановление администрации Пожарского муниципального округа Приморского края об условиях приватизации недвижимого либо движимого имущества должно содержать следующие сведения:</w:t>
      </w:r>
    </w:p>
    <w:p>
      <w:pPr>
        <w:pStyle w:val="Normal"/>
        <w:spacing w:lineRule="auto" w:line="360"/>
        <w:ind w:firstLine="709"/>
        <w:jc w:val="both"/>
        <w:rPr>
          <w:sz w:val="28"/>
          <w:szCs w:val="28"/>
        </w:rPr>
      </w:pPr>
      <w:r>
        <w:rPr>
          <w:sz w:val="28"/>
          <w:szCs w:val="28"/>
        </w:rPr>
        <w:t>- наименование имущества и иные позволяющие его индивидуализировать данные (характеристика имущества);</w:t>
      </w:r>
    </w:p>
    <w:p>
      <w:pPr>
        <w:pStyle w:val="NoSpacing"/>
        <w:spacing w:lineRule="auto" w:line="360"/>
        <w:ind w:firstLine="709"/>
        <w:jc w:val="both"/>
        <w:rPr>
          <w:rFonts w:ascii="Times New Roman" w:hAnsi="Times New Roman" w:cs="Times New Roman"/>
          <w:sz w:val="28"/>
          <w:szCs w:val="28"/>
        </w:rPr>
      </w:pPr>
      <w:r>
        <w:rPr>
          <w:rFonts w:cs="Times New Roman" w:ascii="Times New Roman" w:hAnsi="Times New Roman"/>
          <w:sz w:val="28"/>
          <w:szCs w:val="28"/>
        </w:rPr>
        <w:t>-индивидуализировать данные (характеристика имущества);</w:t>
      </w:r>
    </w:p>
    <w:p>
      <w:pPr>
        <w:pStyle w:val="NoSpacing"/>
        <w:spacing w:lineRule="auto" w:line="360"/>
        <w:ind w:firstLine="709"/>
        <w:jc w:val="both"/>
        <w:rPr>
          <w:rFonts w:ascii="Times New Roman" w:hAnsi="Times New Roman" w:cs="Times New Roman"/>
          <w:sz w:val="28"/>
          <w:szCs w:val="28"/>
        </w:rPr>
      </w:pPr>
      <w:r>
        <w:rPr>
          <w:rFonts w:cs="Times New Roman" w:ascii="Times New Roman" w:hAnsi="Times New Roman"/>
          <w:sz w:val="28"/>
          <w:szCs w:val="28"/>
        </w:rPr>
        <w:t>- способ приватизации имущества;</w:t>
      </w:r>
    </w:p>
    <w:p>
      <w:pPr>
        <w:pStyle w:val="NoSpacing"/>
        <w:spacing w:lineRule="auto" w:line="360"/>
        <w:ind w:firstLine="709"/>
        <w:jc w:val="both"/>
        <w:rPr>
          <w:rFonts w:ascii="Times New Roman" w:hAnsi="Times New Roman" w:cs="Times New Roman"/>
          <w:sz w:val="28"/>
          <w:szCs w:val="28"/>
        </w:rPr>
      </w:pPr>
      <w:r>
        <w:rPr>
          <w:rFonts w:cs="Times New Roman" w:ascii="Times New Roman" w:hAnsi="Times New Roman"/>
          <w:sz w:val="28"/>
          <w:szCs w:val="28"/>
        </w:rPr>
        <w:t>- начальная цена имущества;</w:t>
      </w:r>
    </w:p>
    <w:p>
      <w:pPr>
        <w:pStyle w:val="NoSpacing"/>
        <w:spacing w:lineRule="auto" w:line="360"/>
        <w:ind w:firstLine="709"/>
        <w:jc w:val="both"/>
        <w:rPr>
          <w:rFonts w:ascii="Times New Roman" w:hAnsi="Times New Roman" w:cs="Times New Roman"/>
          <w:sz w:val="28"/>
          <w:szCs w:val="28"/>
        </w:rPr>
      </w:pPr>
      <w:r>
        <w:rPr>
          <w:rFonts w:cs="Times New Roman" w:ascii="Times New Roman" w:hAnsi="Times New Roman"/>
          <w:sz w:val="28"/>
          <w:szCs w:val="28"/>
        </w:rPr>
        <w:t>- срок рассрочки платежа (в случае ее предоставления);</w:t>
      </w:r>
    </w:p>
    <w:p>
      <w:pPr>
        <w:pStyle w:val="NoSpacing"/>
        <w:spacing w:lineRule="auto" w:line="360"/>
        <w:ind w:firstLine="709"/>
        <w:jc w:val="both"/>
        <w:rPr>
          <w:rFonts w:ascii="Times New Roman" w:hAnsi="Times New Roman" w:cs="Times New Roman"/>
          <w:sz w:val="28"/>
          <w:szCs w:val="28"/>
        </w:rPr>
      </w:pPr>
      <w:r>
        <w:rPr>
          <w:rFonts w:cs="Times New Roman" w:ascii="Times New Roman" w:hAnsi="Times New Roman"/>
          <w:sz w:val="28"/>
          <w:szCs w:val="28"/>
        </w:rPr>
        <w:t>- иные необходимые для приватизации имущества сведения.</w:t>
      </w:r>
    </w:p>
    <w:p>
      <w:pPr>
        <w:pStyle w:val="Style19"/>
        <w:ind w:firstLine="709"/>
        <w:jc w:val="both"/>
        <w:rPr>
          <w:sz w:val="28"/>
          <w:szCs w:val="28"/>
        </w:rPr>
      </w:pPr>
      <w:r>
        <w:rPr>
          <w:sz w:val="28"/>
          <w:szCs w:val="28"/>
        </w:rPr>
        <w:t>Постановление администрации Пожарского муниципального округа Приморского края об условиях приватизации недвижимого либо движимого имущества подлежит опубликованию в газете «Победа».</w:t>
      </w:r>
    </w:p>
    <w:p>
      <w:pPr>
        <w:pStyle w:val="Normal"/>
        <w:tabs>
          <w:tab w:val="clear" w:pos="720"/>
          <w:tab w:val="left" w:pos="0" w:leader="none"/>
          <w:tab w:val="left" w:pos="578" w:leader="none"/>
        </w:tabs>
        <w:suppressAutoHyphens w:val="true"/>
        <w:spacing w:lineRule="auto" w:line="360"/>
        <w:ind w:firstLine="709"/>
        <w:jc w:val="both"/>
        <w:rPr>
          <w:rFonts w:ascii="Liberation Serif" w:hAnsi="Liberation Serif" w:eastAsia="Lucida Sans Unicode" w:cs="Liberation Serif"/>
          <w:kern w:val="2"/>
          <w:sz w:val="28"/>
          <w:szCs w:val="28"/>
          <w:lang w:eastAsia="ar-SA"/>
        </w:rPr>
      </w:pPr>
      <w:r>
        <w:rPr>
          <w:sz w:val="28"/>
          <w:szCs w:val="28"/>
        </w:rPr>
        <w:t>2.2. Информационное сообщение о приватизации муниципального имущества подлежит размещению на официальном сайте Российской Федерации в сети «Интернет», определенном Правительством Российской Федерации (</w:t>
      </w:r>
      <w:r>
        <w:rPr>
          <w:sz w:val="28"/>
          <w:szCs w:val="28"/>
          <w:lang w:val="en-US"/>
        </w:rPr>
        <w:t>htt</w:t>
      </w:r>
      <w:r>
        <w:rPr>
          <w:sz w:val="28"/>
          <w:szCs w:val="28"/>
        </w:rPr>
        <w:t>://</w:t>
      </w:r>
      <w:r>
        <w:rPr>
          <w:sz w:val="28"/>
          <w:szCs w:val="28"/>
          <w:lang w:val="en-US"/>
        </w:rPr>
        <w:t>torgi</w:t>
      </w:r>
      <w:r>
        <w:rPr>
          <w:sz w:val="28"/>
          <w:szCs w:val="28"/>
        </w:rPr>
        <w:t>.</w:t>
      </w:r>
      <w:r>
        <w:rPr>
          <w:sz w:val="28"/>
          <w:szCs w:val="28"/>
          <w:lang w:val="en-US"/>
        </w:rPr>
        <w:t>gov</w:t>
      </w:r>
      <w:r>
        <w:rPr>
          <w:sz w:val="28"/>
          <w:szCs w:val="28"/>
        </w:rPr>
        <w:t>.</w:t>
      </w:r>
      <w:r>
        <w:rPr>
          <w:sz w:val="28"/>
          <w:szCs w:val="28"/>
          <w:lang w:val="en-US"/>
        </w:rPr>
        <w:t>ru</w:t>
      </w:r>
      <w:r>
        <w:rPr>
          <w:sz w:val="28"/>
          <w:szCs w:val="28"/>
        </w:rPr>
        <w:t xml:space="preserve">), а также дополнительно может быть размещено на официальном сайте администрации Пожарского муниципального округа Приморского края в сети «Интернет», на электронной площадке </w:t>
      </w:r>
      <w:r>
        <w:rPr>
          <w:rFonts w:eastAsia="Lucida Sans Unicode" w:cs="Liberation Serif" w:ascii="Liberation Serif" w:hAnsi="Liberation Serif"/>
          <w:kern w:val="2"/>
          <w:sz w:val="28"/>
          <w:szCs w:val="28"/>
          <w:lang w:eastAsia="ar-SA"/>
        </w:rPr>
        <w:t>ООО «РТС-тендер» (</w:t>
      </w:r>
      <w:r>
        <w:rPr>
          <w:rStyle w:val="Style17"/>
          <w:rFonts w:eastAsia="Lucida Sans Unicode" w:cs="Liberation Serif" w:ascii="Liberation Serif" w:hAnsi="Liberation Serif"/>
          <w:kern w:val="2"/>
          <w:sz w:val="28"/>
          <w:szCs w:val="28"/>
          <w:u w:val="none"/>
          <w:lang w:eastAsia="ar-SA"/>
        </w:rPr>
        <w:t>https://www.rts-tender.ru/</w:t>
      </w:r>
      <w:r>
        <w:rPr>
          <w:rFonts w:eastAsia="Lucida Sans Unicode" w:cs="Liberation Serif" w:ascii="Liberation Serif" w:hAnsi="Liberation Serif"/>
          <w:kern w:val="2"/>
          <w:sz w:val="28"/>
          <w:szCs w:val="28"/>
          <w:lang w:eastAsia="ar-SA"/>
        </w:rPr>
        <w:t>).</w:t>
      </w:r>
    </w:p>
    <w:p>
      <w:pPr>
        <w:pStyle w:val="Style19"/>
        <w:ind w:firstLine="851"/>
        <w:jc w:val="both"/>
        <w:rPr>
          <w:sz w:val="28"/>
          <w:szCs w:val="28"/>
        </w:rPr>
      </w:pPr>
      <w:r>
        <w:rPr>
          <w:sz w:val="28"/>
          <w:szCs w:val="28"/>
        </w:rPr>
      </w:r>
    </w:p>
    <w:p>
      <w:pPr>
        <w:pStyle w:val="Style19"/>
        <w:spacing w:lineRule="auto" w:line="240"/>
        <w:ind w:firstLine="709"/>
        <w:jc w:val="center"/>
        <w:rPr>
          <w:b/>
          <w:b/>
          <w:sz w:val="28"/>
          <w:szCs w:val="28"/>
        </w:rPr>
      </w:pPr>
      <w:r>
        <w:rPr>
          <w:b/>
          <w:sz w:val="28"/>
          <w:szCs w:val="28"/>
        </w:rPr>
        <w:t>3. Оформление сделок приватизации и оплата муниципального имущества</w:t>
      </w:r>
    </w:p>
    <w:p>
      <w:pPr>
        <w:pStyle w:val="Style19"/>
        <w:ind w:firstLine="709"/>
        <w:jc w:val="center"/>
        <w:rPr>
          <w:b/>
          <w:b/>
          <w:sz w:val="28"/>
          <w:szCs w:val="28"/>
        </w:rPr>
      </w:pPr>
      <w:r>
        <w:rPr>
          <w:b/>
          <w:sz w:val="28"/>
          <w:szCs w:val="28"/>
        </w:rPr>
      </w:r>
    </w:p>
    <w:p>
      <w:pPr>
        <w:pStyle w:val="Style19"/>
        <w:ind w:firstLine="851"/>
        <w:jc w:val="both"/>
        <w:rPr>
          <w:sz w:val="28"/>
          <w:szCs w:val="28"/>
        </w:rPr>
      </w:pPr>
      <w:r>
        <w:rPr>
          <w:sz w:val="28"/>
          <w:szCs w:val="28"/>
        </w:rPr>
        <w:t>3.1. Продажа муниципального имущества оформляется договором купли-продажи. Договор купли-продажи заключается с победителем торгов в течение пяти рабочих дней с даты подведения итогов торгов.</w:t>
      </w:r>
    </w:p>
    <w:p>
      <w:pPr>
        <w:pStyle w:val="Style19"/>
        <w:ind w:firstLine="851"/>
        <w:jc w:val="both"/>
        <w:rPr>
          <w:sz w:val="28"/>
          <w:szCs w:val="28"/>
        </w:rPr>
      </w:pPr>
      <w:r>
        <w:rPr>
          <w:sz w:val="28"/>
          <w:szCs w:val="28"/>
        </w:rPr>
        <w:t>3.2. Передача кредиторам муниципального имущества в зачет муниципальных заимствований, а равно обмен муниципального имущества на находящееся в частной собственности имущество не допускается.</w:t>
      </w:r>
    </w:p>
    <w:p>
      <w:pPr>
        <w:pStyle w:val="Style19"/>
        <w:ind w:firstLine="851"/>
        <w:jc w:val="both"/>
        <w:rPr>
          <w:sz w:val="28"/>
          <w:szCs w:val="28"/>
        </w:rPr>
      </w:pPr>
      <w:r>
        <w:rPr>
          <w:sz w:val="28"/>
          <w:szCs w:val="28"/>
        </w:rPr>
        <w:t>3.3. Денежные средства, полученные в результате продажи муниципального имущества, в полном размере поступают в бюджет Пожарского муниципального округа.</w:t>
      </w:r>
    </w:p>
    <w:p>
      <w:pPr>
        <w:pStyle w:val="Style19"/>
        <w:ind w:firstLine="851"/>
        <w:jc w:val="both"/>
        <w:rPr>
          <w:sz w:val="28"/>
          <w:szCs w:val="28"/>
        </w:rPr>
      </w:pPr>
      <w:r>
        <w:rPr>
          <w:sz w:val="28"/>
          <w:szCs w:val="28"/>
        </w:rPr>
        <w:t>3.4.  Оплата приобретаемого муниципального имущества производится единовременно или в рассрочку. Срок рассрочки не может быть более чем один год. Решение о предоставлении рассрочки может быть принято в случае приватизации муниципального имущества без объявления цены.</w:t>
      </w:r>
    </w:p>
    <w:p>
      <w:pPr>
        <w:pStyle w:val="Style19"/>
        <w:ind w:firstLine="851"/>
        <w:jc w:val="both"/>
        <w:rPr>
          <w:sz w:val="28"/>
          <w:szCs w:val="28"/>
        </w:rPr>
      </w:pPr>
      <w:r>
        <w:rPr>
          <w:sz w:val="28"/>
          <w:szCs w:val="28"/>
        </w:rPr>
        <w:t>3.5. Право собственности на приобретаемое муниципальное имущество переходит к покупателю в установленном порядке после полной его оплаты.</w:t>
      </w:r>
    </w:p>
    <w:p>
      <w:pPr>
        <w:pStyle w:val="Style19"/>
        <w:ind w:firstLine="851"/>
        <w:jc w:val="both"/>
        <w:rPr>
          <w:sz w:val="28"/>
          <w:szCs w:val="28"/>
        </w:rPr>
      </w:pPr>
      <w:r>
        <w:rPr>
          <w:sz w:val="28"/>
          <w:szCs w:val="28"/>
        </w:rPr>
        <w:t xml:space="preserve">3.6.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для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w:t>
      </w:r>
    </w:p>
    <w:p>
      <w:pPr>
        <w:pStyle w:val="Style19"/>
        <w:ind w:firstLine="851"/>
        <w:jc w:val="both"/>
        <w:rPr>
          <w:sz w:val="28"/>
          <w:szCs w:val="28"/>
        </w:rPr>
      </w:pPr>
      <w:r>
        <w:rPr>
          <w:sz w:val="28"/>
          <w:szCs w:val="28"/>
        </w:rPr>
        <w:t>3.7. Право собственности на муниципальное имущество, приобретенное в рассрочку, переходит к покупателю в установленном законом порядке. С момента передачи покупателю приобретенного в рассрочку муниципального имущества и до момента его полной оплаты указанное имущество находится в залоге для обеспечения исполнения покупателем его обязанностей по оплате имущества. В случае нарушения покупателем сроков и порядка внесения платежей обращается взыскание на заложенное имущество в судебном порядке.</w:t>
      </w:r>
    </w:p>
    <w:p>
      <w:pPr>
        <w:pStyle w:val="Style19"/>
        <w:ind w:firstLine="851"/>
        <w:jc w:val="both"/>
        <w:rPr>
          <w:sz w:val="28"/>
          <w:szCs w:val="28"/>
        </w:rPr>
      </w:pPr>
      <w:r>
        <w:rPr>
          <w:sz w:val="28"/>
          <w:szCs w:val="28"/>
        </w:rPr>
        <w:t xml:space="preserve">3.8. За несвоевременное перечисление денежных средств по договорам купли-продажи муниципального имущества уплачиваются проценты, размер которых определяется учетной ставкой рефинансирования Центрального банка Российской Федерации, действующей на дату исполнения денежных обязательств перед бюджетом Пожарского муниципального округа. </w:t>
      </w:r>
    </w:p>
    <w:p>
      <w:pPr>
        <w:pStyle w:val="Style19"/>
        <w:ind w:firstLine="851"/>
        <w:jc w:val="both"/>
        <w:rPr>
          <w:sz w:val="28"/>
          <w:szCs w:val="28"/>
        </w:rPr>
      </w:pPr>
      <w:r>
        <w:rPr>
          <w:sz w:val="28"/>
          <w:szCs w:val="28"/>
        </w:rPr>
        <w:t>3.9. Денежные средства, полученные от взыскания штрафных санкций за неисполнение обязательств по сделкам приватизации муниципального имущества, подлежат перечислению в бюджет Пожарского муниципального округа.</w:t>
      </w:r>
    </w:p>
    <w:p>
      <w:pPr>
        <w:pStyle w:val="Style19"/>
        <w:ind w:firstLine="851"/>
        <w:jc w:val="both"/>
        <w:rPr>
          <w:sz w:val="28"/>
          <w:szCs w:val="28"/>
        </w:rPr>
      </w:pPr>
      <w:r>
        <w:rPr>
          <w:sz w:val="28"/>
          <w:szCs w:val="28"/>
        </w:rPr>
        <w:t>3.10. Возврат денежных средств по недействительным сделкам купли-продажи муниципального имущества осуществляется в соответствии с Бюджетным кодексом Российской Федерации за счет средств местного бюджета на основании вступившего в силу решения суда после передачи такого имущества в муниципальную собственность.</w:t>
      </w:r>
    </w:p>
    <w:p>
      <w:pPr>
        <w:pStyle w:val="Style19"/>
        <w:ind w:firstLine="851"/>
        <w:jc w:val="both"/>
        <w:rPr>
          <w:sz w:val="28"/>
          <w:szCs w:val="28"/>
        </w:rPr>
      </w:pPr>
      <w:r>
        <w:rPr>
          <w:sz w:val="28"/>
          <w:szCs w:val="28"/>
        </w:rPr>
        <w:t>3.11. Отчет о результатах приватизации муниципального имущества за прошедший год подлежит размещению на официальном сайте администрации Пожарского муниципального округа Приморского края в сети «Интернет» одновременно с представлением в Думу Пожарского муниципального округа.</w:t>
      </w:r>
    </w:p>
    <w:p>
      <w:pPr>
        <w:pStyle w:val="Style19"/>
        <w:spacing w:lineRule="auto" w:line="240"/>
        <w:jc w:val="center"/>
        <w:rPr>
          <w:sz w:val="28"/>
          <w:szCs w:val="28"/>
        </w:rPr>
      </w:pPr>
      <w:r>
        <w:rPr>
          <w:sz w:val="28"/>
          <w:szCs w:val="28"/>
        </w:rPr>
        <w:t>_________________</w:t>
      </w:r>
    </w:p>
    <w:p>
      <w:pPr>
        <w:pStyle w:val="Style19"/>
        <w:spacing w:lineRule="auto" w:line="240"/>
        <w:jc w:val="both"/>
        <w:rPr>
          <w:sz w:val="28"/>
          <w:szCs w:val="28"/>
        </w:rPr>
      </w:pPr>
      <w:r>
        <w:rPr>
          <w:sz w:val="28"/>
          <w:szCs w:val="28"/>
        </w:rPr>
      </w:r>
    </w:p>
    <w:p>
      <w:pPr>
        <w:pStyle w:val="Style19"/>
        <w:spacing w:lineRule="auto" w:line="240"/>
        <w:jc w:val="both"/>
        <w:rPr>
          <w:sz w:val="28"/>
          <w:szCs w:val="28"/>
        </w:rPr>
      </w:pPr>
      <w:r>
        <w:rPr/>
      </w:r>
    </w:p>
    <w:sectPr>
      <w:type w:val="nextPage"/>
      <w:pgSz w:w="11906" w:h="16838"/>
      <w:pgMar w:left="1418" w:right="851" w:gutter="0" w:header="0" w:top="568" w:footer="0" w:bottom="28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swiss"/>
    <w:pitch w:val="variable"/>
  </w:font>
  <w:font w:name="Arial">
    <w:charset w:val="01"/>
    <w:family w:val="roman"/>
    <w:pitch w:val="variable"/>
  </w:font>
  <w:font w:name="Verdana">
    <w:charset w:val="01"/>
    <w:family w:val="roman"/>
    <w:pitch w:val="variable"/>
  </w:font>
  <w:font w:name="Calibri">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decimal"/>
      <w:lvlText w:val="%1.%2."/>
      <w:lvlJc w:val="left"/>
      <w:pPr>
        <w:tabs>
          <w:tab w:val="num" w:pos="0"/>
        </w:tabs>
        <w:ind w:left="1571" w:hanging="720"/>
      </w:pPr>
      <w:rPr/>
    </w:lvl>
    <w:lvl w:ilvl="2">
      <w:start w:val="1"/>
      <w:numFmt w:val="decimal"/>
      <w:lvlText w:val="%1.%2.%3."/>
      <w:lvlJc w:val="left"/>
      <w:pPr>
        <w:tabs>
          <w:tab w:val="num" w:pos="0"/>
        </w:tabs>
        <w:ind w:left="1713" w:hanging="720"/>
      </w:pPr>
      <w:rPr/>
    </w:lvl>
    <w:lvl w:ilvl="3">
      <w:start w:val="1"/>
      <w:numFmt w:val="decimal"/>
      <w:lvlText w:val="%1.%2.%3.%4."/>
      <w:lvlJc w:val="left"/>
      <w:pPr>
        <w:tabs>
          <w:tab w:val="num" w:pos="0"/>
        </w:tabs>
        <w:ind w:left="2215" w:hanging="1080"/>
      </w:pPr>
      <w:rPr/>
    </w:lvl>
    <w:lvl w:ilvl="4">
      <w:start w:val="1"/>
      <w:numFmt w:val="decimal"/>
      <w:lvlText w:val="%1.%2.%3.%4.%5."/>
      <w:lvlJc w:val="left"/>
      <w:pPr>
        <w:tabs>
          <w:tab w:val="num" w:pos="0"/>
        </w:tabs>
        <w:ind w:left="2357" w:hanging="1080"/>
      </w:pPr>
      <w:rPr/>
    </w:lvl>
    <w:lvl w:ilvl="5">
      <w:start w:val="1"/>
      <w:numFmt w:val="decimal"/>
      <w:lvlText w:val="%1.%2.%3.%4.%5.%6."/>
      <w:lvlJc w:val="left"/>
      <w:pPr>
        <w:tabs>
          <w:tab w:val="num" w:pos="0"/>
        </w:tabs>
        <w:ind w:left="2859" w:hanging="1440"/>
      </w:pPr>
      <w:rPr/>
    </w:lvl>
    <w:lvl w:ilvl="6">
      <w:start w:val="1"/>
      <w:numFmt w:val="decimal"/>
      <w:lvlText w:val="%1.%2.%3.%4.%5.%6.%7."/>
      <w:lvlJc w:val="left"/>
      <w:pPr>
        <w:tabs>
          <w:tab w:val="num" w:pos="0"/>
        </w:tabs>
        <w:ind w:left="3361" w:hanging="1800"/>
      </w:pPr>
      <w:rPr/>
    </w:lvl>
    <w:lvl w:ilvl="7">
      <w:start w:val="1"/>
      <w:numFmt w:val="decimal"/>
      <w:lvlText w:val="%1.%2.%3.%4.%5.%6.%7.%8."/>
      <w:lvlJc w:val="left"/>
      <w:pPr>
        <w:tabs>
          <w:tab w:val="num" w:pos="0"/>
        </w:tabs>
        <w:ind w:left="3503" w:hanging="1800"/>
      </w:pPr>
      <w:rPr/>
    </w:lvl>
    <w:lvl w:ilvl="8">
      <w:start w:val="1"/>
      <w:numFmt w:val="decimal"/>
      <w:lvlText w:val="%1.%2.%3.%4.%5.%6.%7.%8.%9."/>
      <w:lvlJc w:val="left"/>
      <w:pPr>
        <w:tabs>
          <w:tab w:val="num" w:pos="0"/>
        </w:tabs>
        <w:ind w:left="4005" w:hanging="2160"/>
      </w:pPr>
      <w:rPr/>
    </w:lvl>
  </w:abstractNum>
  <w:abstractNum w:abstractNumId="2">
    <w:lvl w:ilvl="0">
      <w:start w:val="2"/>
      <w:numFmt w:val="decimal"/>
      <w:lvlText w:val="%1."/>
      <w:lvlJc w:val="left"/>
      <w:pPr>
        <w:tabs>
          <w:tab w:val="num" w:pos="0"/>
        </w:tabs>
        <w:ind w:left="644"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embedSystemFonts/>
  <w:defaultTabStop w:val="720"/>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c0cf1"/>
    <w:pPr>
      <w:widowControl/>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1">
    <w:name w:val="Heading 1"/>
    <w:basedOn w:val="Normal"/>
    <w:next w:val="Normal"/>
    <w:qFormat/>
    <w:rsid w:val="00dc0cf1"/>
    <w:pPr>
      <w:keepNext w:val="true"/>
      <w:jc w:val="center"/>
      <w:outlineLvl w:val="0"/>
    </w:pPr>
    <w:rPr>
      <w:b/>
      <w:sz w:val="28"/>
    </w:rPr>
  </w:style>
  <w:style w:type="paragraph" w:styleId="2">
    <w:name w:val="Heading 2"/>
    <w:basedOn w:val="Normal"/>
    <w:next w:val="Normal"/>
    <w:qFormat/>
    <w:rsid w:val="00dc0cf1"/>
    <w:pPr>
      <w:keepNext w:val="true"/>
      <w:outlineLvl w:val="1"/>
    </w:pPr>
    <w:rPr>
      <w:sz w:val="24"/>
    </w:rPr>
  </w:style>
  <w:style w:type="paragraph" w:styleId="3">
    <w:name w:val="Heading 3"/>
    <w:basedOn w:val="Normal"/>
    <w:next w:val="Normal"/>
    <w:qFormat/>
    <w:rsid w:val="00dc0cf1"/>
    <w:pPr>
      <w:keepNext w:val="true"/>
      <w:jc w:val="center"/>
      <w:outlineLvl w:val="2"/>
    </w:pPr>
    <w:rPr>
      <w:b/>
      <w:sz w:val="24"/>
    </w:rPr>
  </w:style>
  <w:style w:type="paragraph" w:styleId="4">
    <w:name w:val="Heading 4"/>
    <w:basedOn w:val="Normal"/>
    <w:next w:val="Normal"/>
    <w:qFormat/>
    <w:rsid w:val="005b2ee6"/>
    <w:pPr>
      <w:keepNext w:val="true"/>
      <w:spacing w:before="240" w:after="60"/>
      <w:outlineLvl w:val="3"/>
    </w:pPr>
    <w:rPr>
      <w:b/>
      <w:bCs/>
      <w:sz w:val="28"/>
      <w:szCs w:val="28"/>
    </w:rPr>
  </w:style>
  <w:style w:type="character" w:styleId="DefaultParagraphFont" w:default="1">
    <w:name w:val="Default Paragraph Font"/>
    <w:uiPriority w:val="1"/>
    <w:semiHidden/>
    <w:unhideWhenUsed/>
    <w:qFormat/>
    <w:rPr/>
  </w:style>
  <w:style w:type="character" w:styleId="Style10">
    <w:name w:val="Символ сноски"/>
    <w:semiHidden/>
    <w:qFormat/>
    <w:rsid w:val="0072252f"/>
    <w:rPr>
      <w:vertAlign w:val="superscript"/>
    </w:rPr>
  </w:style>
  <w:style w:type="character" w:styleId="Style11">
    <w:name w:val="Footnote Reference"/>
    <w:rPr>
      <w:vertAlign w:val="superscript"/>
    </w:rPr>
  </w:style>
  <w:style w:type="character" w:styleId="Style12" w:customStyle="1">
    <w:name w:val="Основной текст Знак"/>
    <w:qFormat/>
    <w:rsid w:val="00ba6b0b"/>
    <w:rPr>
      <w:sz w:val="26"/>
    </w:rPr>
  </w:style>
  <w:style w:type="character" w:styleId="Style13" w:customStyle="1">
    <w:name w:val="Верхний колонтитул Знак"/>
    <w:uiPriority w:val="99"/>
    <w:qFormat/>
    <w:rsid w:val="00b73f0b"/>
    <w:rPr>
      <w:sz w:val="24"/>
      <w:szCs w:val="24"/>
    </w:rPr>
  </w:style>
  <w:style w:type="character" w:styleId="Pagenumber">
    <w:name w:val="page number"/>
    <w:qFormat/>
    <w:rsid w:val="00b73f0b"/>
    <w:rPr/>
  </w:style>
  <w:style w:type="character" w:styleId="Style14" w:customStyle="1">
    <w:name w:val="Текст выноски Знак"/>
    <w:link w:val="BalloonText"/>
    <w:semiHidden/>
    <w:qFormat/>
    <w:rsid w:val="00b73f0b"/>
    <w:rPr>
      <w:rFonts w:ascii="Tahoma" w:hAnsi="Tahoma" w:cs="Tahoma"/>
      <w:sz w:val="16"/>
      <w:szCs w:val="16"/>
    </w:rPr>
  </w:style>
  <w:style w:type="character" w:styleId="Style15" w:customStyle="1">
    <w:name w:val="Нижний колонтитул Знак"/>
    <w:qFormat/>
    <w:rsid w:val="00b73f0b"/>
    <w:rPr>
      <w:sz w:val="24"/>
      <w:szCs w:val="24"/>
    </w:rPr>
  </w:style>
  <w:style w:type="character" w:styleId="Style16" w:customStyle="1">
    <w:name w:val="Основной текст с отступом Знак"/>
    <w:qFormat/>
    <w:rsid w:val="00b73f0b"/>
    <w:rPr>
      <w:sz w:val="24"/>
      <w:szCs w:val="24"/>
    </w:rPr>
  </w:style>
  <w:style w:type="character" w:styleId="11" w:customStyle="1">
    <w:name w:val="Основной текст с отступом Знак1"/>
    <w:basedOn w:val="DefaultParagraphFont"/>
    <w:uiPriority w:val="99"/>
    <w:qFormat/>
    <w:rsid w:val="00b73f0b"/>
    <w:rPr/>
  </w:style>
  <w:style w:type="character" w:styleId="Style17">
    <w:name w:val="Hyperlink"/>
    <w:rsid w:val="002d7b9f"/>
    <w:rPr>
      <w:color w:val="0000FF"/>
      <w:u w:val="single"/>
    </w:rPr>
  </w:style>
  <w:style w:type="paragraph" w:styleId="Style18">
    <w:name w:val="Заголовок"/>
    <w:basedOn w:val="Normal"/>
    <w:next w:val="Style19"/>
    <w:qFormat/>
    <w:pPr>
      <w:keepNext w:val="true"/>
      <w:spacing w:before="240" w:after="120"/>
    </w:pPr>
    <w:rPr>
      <w:rFonts w:ascii="Liberation Sans" w:hAnsi="Liberation Sans" w:eastAsia="Noto Sans CJK SC" w:cs="FreeSans"/>
      <w:sz w:val="28"/>
      <w:szCs w:val="28"/>
    </w:rPr>
  </w:style>
  <w:style w:type="paragraph" w:styleId="Style19">
    <w:name w:val="Body Text"/>
    <w:basedOn w:val="Normal"/>
    <w:link w:val="Style12"/>
    <w:rsid w:val="00dc0cf1"/>
    <w:pPr>
      <w:spacing w:lineRule="auto" w:line="360"/>
    </w:pPr>
    <w:rPr>
      <w:sz w:val="26"/>
    </w:rPr>
  </w:style>
  <w:style w:type="paragraph" w:styleId="Style20">
    <w:name w:val="List"/>
    <w:basedOn w:val="Style19"/>
    <w:pPr/>
    <w:rPr>
      <w:rFonts w:cs="FreeSans"/>
    </w:rPr>
  </w:style>
  <w:style w:type="paragraph" w:styleId="Style21">
    <w:name w:val="Caption"/>
    <w:basedOn w:val="Normal"/>
    <w:qFormat/>
    <w:pPr>
      <w:suppressLineNumbers/>
      <w:spacing w:before="120" w:after="120"/>
    </w:pPr>
    <w:rPr>
      <w:rFonts w:cs="FreeSans"/>
      <w:i/>
      <w:iCs/>
      <w:sz w:val="24"/>
      <w:szCs w:val="24"/>
    </w:rPr>
  </w:style>
  <w:style w:type="paragraph" w:styleId="Style22">
    <w:name w:val="Указатель"/>
    <w:basedOn w:val="Normal"/>
    <w:qFormat/>
    <w:pPr>
      <w:suppressLineNumbers/>
    </w:pPr>
    <w:rPr>
      <w:rFonts w:cs="FreeSans"/>
    </w:rPr>
  </w:style>
  <w:style w:type="paragraph" w:styleId="BalloonText">
    <w:name w:val="Balloon Text"/>
    <w:basedOn w:val="Normal"/>
    <w:link w:val="Style14"/>
    <w:semiHidden/>
    <w:qFormat/>
    <w:rsid w:val="00722530"/>
    <w:pPr/>
    <w:rPr>
      <w:rFonts w:ascii="Tahoma" w:hAnsi="Tahoma" w:cs="Tahoma"/>
      <w:sz w:val="16"/>
      <w:szCs w:val="16"/>
    </w:rPr>
  </w:style>
  <w:style w:type="paragraph" w:styleId="Style23">
    <w:name w:val="Footnote Text"/>
    <w:basedOn w:val="Normal"/>
    <w:semiHidden/>
    <w:rsid w:val="0072252f"/>
    <w:pPr/>
    <w:rPr/>
  </w:style>
  <w:style w:type="paragraph" w:styleId="ConsPlusNormal" w:customStyle="1">
    <w:name w:val="ConsPlusNormal"/>
    <w:qFormat/>
    <w:rsid w:val="00d36104"/>
    <w:pPr>
      <w:widowControl w:val="fals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Style24">
    <w:name w:val="Колонтитул"/>
    <w:basedOn w:val="Normal"/>
    <w:qFormat/>
    <w:pPr/>
    <w:rPr/>
  </w:style>
  <w:style w:type="paragraph" w:styleId="Style25">
    <w:name w:val="Header"/>
    <w:basedOn w:val="Normal"/>
    <w:link w:val="Style13"/>
    <w:uiPriority w:val="99"/>
    <w:rsid w:val="00b73f0b"/>
    <w:pPr>
      <w:tabs>
        <w:tab w:val="clear" w:pos="720"/>
        <w:tab w:val="center" w:pos="4677" w:leader="none"/>
        <w:tab w:val="right" w:pos="9355" w:leader="none"/>
      </w:tabs>
    </w:pPr>
    <w:rPr>
      <w:sz w:val="24"/>
      <w:szCs w:val="24"/>
    </w:rPr>
  </w:style>
  <w:style w:type="paragraph" w:styleId="Style26">
    <w:name w:val="Footer"/>
    <w:basedOn w:val="Normal"/>
    <w:link w:val="Style15"/>
    <w:rsid w:val="00b73f0b"/>
    <w:pPr>
      <w:tabs>
        <w:tab w:val="clear" w:pos="720"/>
        <w:tab w:val="center" w:pos="4677" w:leader="none"/>
        <w:tab w:val="right" w:pos="9355" w:leader="none"/>
      </w:tabs>
    </w:pPr>
    <w:rPr>
      <w:sz w:val="24"/>
      <w:szCs w:val="24"/>
    </w:rPr>
  </w:style>
  <w:style w:type="paragraph" w:styleId="Style27">
    <w:name w:val="Body Text Indent"/>
    <w:basedOn w:val="Normal"/>
    <w:link w:val="Style16"/>
    <w:unhideWhenUsed/>
    <w:rsid w:val="00b73f0b"/>
    <w:pPr>
      <w:ind w:left="9900" w:hanging="0"/>
      <w:jc w:val="center"/>
    </w:pPr>
    <w:rPr>
      <w:sz w:val="24"/>
      <w:szCs w:val="24"/>
    </w:rPr>
  </w:style>
  <w:style w:type="paragraph" w:styleId="12" w:customStyle="1">
    <w:name w:val="Знак1"/>
    <w:basedOn w:val="Normal"/>
    <w:qFormat/>
    <w:rsid w:val="004438f2"/>
    <w:pPr>
      <w:spacing w:lineRule="exact" w:line="240" w:before="0" w:after="160"/>
      <w:ind w:firstLine="709"/>
    </w:pPr>
    <w:rPr>
      <w:rFonts w:ascii="Verdana" w:hAnsi="Verdana"/>
      <w:sz w:val="16"/>
    </w:rPr>
  </w:style>
  <w:style w:type="paragraph" w:styleId="NoSpacing">
    <w:name w:val="No Spacing"/>
    <w:uiPriority w:val="1"/>
    <w:qFormat/>
    <w:rsid w:val="00b402d4"/>
    <w:pPr>
      <w:widowControl/>
      <w:bidi w:val="0"/>
      <w:spacing w:before="0" w:after="0"/>
      <w:jc w:val="left"/>
    </w:pPr>
    <w:rPr>
      <w:rFonts w:ascii="Calibri" w:hAnsi="Calibri" w:eastAsia="Calibri" w:cs="" w:asciiTheme="minorHAnsi" w:cstheme="minorBidi" w:eastAsiaTheme="minorHAnsi" w:hAnsiTheme="minorHAnsi"/>
      <w:color w:val="auto"/>
      <w:kern w:val="0"/>
      <w:sz w:val="22"/>
      <w:szCs w:val="22"/>
      <w:lang w:eastAsia="en-US" w:val="ru-RU" w:bidi="ar-SA"/>
    </w:rPr>
  </w:style>
  <w:style w:type="paragraph" w:styleId="Pboth" w:customStyle="1">
    <w:name w:val="pboth"/>
    <w:basedOn w:val="Normal"/>
    <w:qFormat/>
    <w:rsid w:val="00b402d4"/>
    <w:pPr>
      <w:spacing w:beforeAutospacing="1" w:afterAutospacing="1"/>
    </w:pPr>
    <w:rPr>
      <w:sz w:val="24"/>
      <w:szCs w:val="24"/>
    </w:rPr>
  </w:style>
  <w:style w:type="paragraph" w:styleId="ListParagraph">
    <w:name w:val="List Paragraph"/>
    <w:basedOn w:val="Normal"/>
    <w:uiPriority w:val="34"/>
    <w:qFormat/>
    <w:rsid w:val="00ad160c"/>
    <w:pPr>
      <w:spacing w:before="0" w:after="0"/>
      <w:ind w:left="720" w:hanging="0"/>
      <w:contextualSpacing/>
    </w:pPr>
    <w:rPr/>
  </w:style>
  <w:style w:type="paragraph" w:styleId="Style28">
    <w:name w:val="Содержимое врезки"/>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9">
    <w:name w:val="Table Grid"/>
    <w:basedOn w:val="a1"/>
    <w:rsid w:val="00a2183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685BC-4EB9-4031-BFBF-0C5318D67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Application>LibreOffice/7.4.7.2$Linux_X86_64 LibreOffice_project/40$Build-2</Application>
  <AppVersion>15.0000</AppVersion>
  <Pages>7</Pages>
  <Words>1260</Words>
  <Characters>9000</Characters>
  <CharactersWithSpaces>10214</CharactersWithSpaces>
  <Paragraphs>147</Paragraphs>
  <Company> </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2019-12-23T22:02:00Z</dcterms:created>
  <dc:creator>Кашуба Петр Борисович</dc:creator>
  <dc:description/>
  <dc:language>ru-RU</dc:language>
  <cp:lastModifiedBy/>
  <cp:lastPrinted>2023-10-02T23:07:00Z</cp:lastPrinted>
  <dcterms:modified xsi:type="dcterms:W3CDTF">2024-01-12T15:45:02Z</dcterms:modified>
  <cp:revision>41</cp:revision>
  <dc:subject/>
  <dc:title>П О Ж А Р С К И Й        Р А Й О Н Н Ы Й        С О В Е Т</dc:title>
</cp:coreProperties>
</file>

<file path=docProps/custom.xml><?xml version="1.0" encoding="utf-8"?>
<Properties xmlns="http://schemas.openxmlformats.org/officeDocument/2006/custom-properties" xmlns:vt="http://schemas.openxmlformats.org/officeDocument/2006/docPropsVTypes"/>
</file>