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spacing w:before="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</w:t>
      </w:r>
    </w:p>
    <w:p>
      <w:pPr>
        <w:pStyle w:val="Normal"/>
        <w:keepNext w:val="true"/>
        <w:tabs>
          <w:tab w:val="clear" w:pos="708"/>
          <w:tab w:val="left" w:pos="9356" w:leader="none"/>
        </w:tabs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инвестиционной площадки для</w:t>
      </w:r>
    </w:p>
    <w:p>
      <w:pPr>
        <w:pStyle w:val="Normal"/>
        <w:keepNext w:val="true"/>
        <w:tabs>
          <w:tab w:val="clear" w:pos="708"/>
          <w:tab w:val="left" w:pos="9356" w:leader="none"/>
        </w:tabs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строительства на территории пгт. Лучегорск</w:t>
      </w:r>
    </w:p>
    <w:p>
      <w:pPr>
        <w:pStyle w:val="Normal"/>
        <w:keepNext w:val="true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(наименование)</w:t>
      </w:r>
    </w:p>
    <w:p>
      <w:pPr>
        <w:pStyle w:val="Normal"/>
        <w:keepNext w:val="true"/>
        <w:jc w:val="center"/>
        <w:rPr>
          <w:rFonts w:ascii="Arial" w:hAnsi="Arial" w:eastAsia="Calibri"/>
          <w:b/>
          <w:lang w:eastAsia="en-US"/>
        </w:rPr>
      </w:pPr>
      <w:r>
        <w:rPr>
          <w:rFonts w:eastAsia="Calibri" w:ascii="Arial" w:hAnsi="Arial"/>
          <w:b/>
          <w:lang w:eastAsia="en-US"/>
        </w:rPr>
      </w:r>
    </w:p>
    <w:tbl>
      <w:tblPr>
        <w:tblW w:w="5000" w:type="pct"/>
        <w:jc w:val="right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noVBand="1" w:val="04a0" w:noHBand="0" w:lastColumn="0" w:firstColumn="1" w:lastRow="0" w:firstRow="1"/>
      </w:tblPr>
      <w:tblGrid>
        <w:gridCol w:w="2334"/>
        <w:gridCol w:w="348"/>
        <w:gridCol w:w="898"/>
        <w:gridCol w:w="848"/>
        <w:gridCol w:w="1025"/>
        <w:gridCol w:w="481"/>
        <w:gridCol w:w="1383"/>
        <w:gridCol w:w="1007"/>
        <w:gridCol w:w="1030"/>
      </w:tblGrid>
      <w:tr>
        <w:trPr>
          <w:trHeight w:val="274" w:hRule="atLeast"/>
          <w:cantSplit w:val="true"/>
        </w:trPr>
        <w:tc>
          <w:tcPr>
            <w:tcW w:w="935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fill="CCCCCC" w:val="clear"/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2"/>
              </w:numPr>
              <w:spacing w:lineRule="exact" w:line="200" w:before="120" w:after="0"/>
              <w:ind w:left="714" w:hanging="697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Основные сведения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Тип площадки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</w:rPr>
              <w:t xml:space="preserve">Земельный участок для строительства многоквартирных домов </w:t>
            </w:r>
            <w:r>
              <w:rPr>
                <w:rFonts w:cs="Times New Roman"/>
                <w:bCs/>
              </w:rPr>
              <w:t xml:space="preserve">4-8 </w:t>
            </w:r>
            <w:r>
              <w:rPr>
                <w:rFonts w:cs="Times New Roman"/>
                <w:bCs/>
              </w:rPr>
              <w:t xml:space="preserve">этажей, гостиниц, </w:t>
            </w:r>
            <w:r>
              <w:rPr>
                <w:rFonts w:cs="Times New Roman"/>
                <w:bCs/>
              </w:rPr>
              <w:t>общежитий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Место расположения (адрес) площадки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8"/>
                <w:u w:val="none"/>
              </w:rPr>
              <w:t xml:space="preserve">Приморский край, Пожарский район, пгт Лучегорск, </w:t>
            </w: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3 мкр., д. 13 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Форма собственности земельного участка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не разграниченная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Условия предоставления площадки 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Аренда на торгах </w:t>
            </w:r>
          </w:p>
        </w:tc>
      </w:tr>
      <w:tr>
        <w:trPr>
          <w:trHeight w:val="225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exact" w:line="200" w:before="120" w:after="0"/>
              <w:ind w:left="714" w:hanging="697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Сведения о собственнике/правообладателе площадки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Организация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Администрация Пожарского муниципального округа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Контактное лицо (Ф.И.О.)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Козак Владимир Михайлович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Должность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Глава Пожарского муниципального округа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Телефон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8 (42357) 33477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E-mail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cs="Times New Roman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PozharskyMO@bk.ru</w:t>
            </w:r>
          </w:p>
        </w:tc>
      </w:tr>
      <w:tr>
        <w:trPr>
          <w:trHeight w:val="231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exact" w:line="200" w:before="120" w:after="0"/>
              <w:ind w:left="714" w:hanging="697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Характеристика площадки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Кадастровый номер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25:15:080103:1146</w:t>
            </w:r>
          </w:p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/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Свободная площадь, м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vertAlign w:val="superscript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или га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120" w:after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eastAsia="en-US"/>
              </w:rPr>
              <w:t>7282 кв. м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Возможность расширения площадки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нет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Категория земель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земли населенных пунктов</w:t>
            </w:r>
          </w:p>
        </w:tc>
      </w:tr>
      <w:tr>
        <w:trPr>
          <w:trHeight w:val="545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Ограничения на использование земельного участка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Охранная зона водовода (частично) и бытовой канализации (частично)</w:t>
            </w:r>
          </w:p>
        </w:tc>
      </w:tr>
      <w:tr>
        <w:trPr>
          <w:trHeight w:val="30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 ограждений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нет</w:t>
            </w:r>
          </w:p>
        </w:tc>
      </w:tr>
      <w:tr>
        <w:trPr>
          <w:trHeight w:val="387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 зданий, сооружений</w:t>
            </w:r>
          </w:p>
        </w:tc>
        <w:tc>
          <w:tcPr>
            <w:tcW w:w="6672" w:type="dxa"/>
            <w:gridSpan w:val="7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Объект незавершенного строительства «120 кв. жилой дом» (свайное поле)</w:t>
            </w:r>
          </w:p>
        </w:tc>
      </w:tr>
      <w:tr>
        <w:trPr>
          <w:trHeight w:val="288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4. Основные параметры зданий и сооружений, расположенных на площадке</w:t>
            </w:r>
          </w:p>
        </w:tc>
      </w:tr>
      <w:tr>
        <w:trPr>
          <w:trHeight w:val="872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Наименование здания, сооружения</w:t>
            </w:r>
          </w:p>
        </w:tc>
        <w:tc>
          <w:tcPr>
            <w:tcW w:w="898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Площадь (м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vertAlign w:val="superscript"/>
              </w:rPr>
              <w:t>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)</w:t>
            </w:r>
          </w:p>
        </w:tc>
        <w:tc>
          <w:tcPr>
            <w:tcW w:w="848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Этажность</w:t>
            </w:r>
          </w:p>
        </w:tc>
        <w:tc>
          <w:tcPr>
            <w:tcW w:w="1025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Высота этажа</w:t>
            </w:r>
          </w:p>
        </w:tc>
        <w:tc>
          <w:tcPr>
            <w:tcW w:w="1864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Строительный материал конструкций</w:t>
            </w:r>
          </w:p>
        </w:tc>
        <w:tc>
          <w:tcPr>
            <w:tcW w:w="1007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Степень износа</w:t>
              <w:br/>
              <w:t>(в %)</w:t>
            </w:r>
          </w:p>
        </w:tc>
        <w:tc>
          <w:tcPr>
            <w:tcW w:w="1030" w:type="dxa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Возможность расширения</w:t>
            </w:r>
          </w:p>
        </w:tc>
      </w:tr>
      <w:tr>
        <w:trPr>
          <w:trHeight w:val="390" w:hRule="atLeast"/>
          <w:cantSplit w:val="true"/>
        </w:trPr>
        <w:tc>
          <w:tcPr>
            <w:tcW w:w="2682" w:type="dxa"/>
            <w:gridSpan w:val="2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Свободен от строений</w:t>
            </w:r>
          </w:p>
        </w:tc>
        <w:tc>
          <w:tcPr>
            <w:tcW w:w="898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848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25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864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07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30" w:type="dxa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>
          <w:trHeight w:val="176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5. Характеристика транспортной доступности</w:t>
            </w:r>
          </w:p>
        </w:tc>
      </w:tr>
      <w:tr>
        <w:trPr>
          <w:trHeight w:val="39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Удаленность участка (в км или м) от: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iCs/>
              </w:rPr>
            </w:r>
          </w:p>
        </w:tc>
      </w:tr>
      <w:tr>
        <w:trPr>
          <w:trHeight w:val="214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ближайшего населенного пункта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 границах пгт Лучегорск</w:t>
            </w:r>
          </w:p>
        </w:tc>
      </w:tr>
      <w:tr>
        <w:trPr>
          <w:trHeight w:val="234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административного центра муниципального образования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 границах</w:t>
            </w:r>
          </w:p>
        </w:tc>
      </w:tr>
      <w:tr>
        <w:trPr>
          <w:trHeight w:val="324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г. Хабаровска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270 км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автомобильной дороги федерального/ регионального/ межмуниципального значения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350 м ФАД Хабаровск-Владивосток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железной дороги </w:t>
            </w:r>
            <w:r>
              <w:rPr>
                <w:rFonts w:ascii="Liberation Serif" w:hAnsi="Liberation Serif"/>
                <w:b w:val="false"/>
                <w:bCs w:val="false"/>
                <w:i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(указать название станции)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12 км. ж.д. ст. Лучегорск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аэропорта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270 км Хабаровск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речного порта, пристани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морского порта 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500 км г. Владивосток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жилых домов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30 м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близлежащих производственных объектов (промышленных. сельскохозяйственных, иных) </w:t>
            </w:r>
            <w:r>
              <w:rPr>
                <w:rFonts w:ascii="Liberation Serif" w:hAnsi="Liberation Serif"/>
                <w:b w:val="false"/>
                <w:bCs w:val="false"/>
                <w:i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(указать каких)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ПримГРЭС – 2,5 км</w:t>
            </w:r>
          </w:p>
        </w:tc>
      </w:tr>
      <w:tr>
        <w:trPr>
          <w:trHeight w:val="176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6. Внутренние (собственные) транспортные коммуникации</w:t>
            </w:r>
          </w:p>
        </w:tc>
      </w:tr>
      <w:tr>
        <w:trPr>
          <w:trHeight w:val="381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Тип коммуникаций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Автомобильная дорога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ул. Перспективная</w:t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Железнодорожная ветка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300" w:hRule="atLeast"/>
          <w:cantSplit w:val="true"/>
        </w:trPr>
        <w:tc>
          <w:tcPr>
            <w:tcW w:w="4428" w:type="dxa"/>
            <w:gridSpan w:val="4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Порт, пристань, аэропорт</w:t>
            </w:r>
          </w:p>
        </w:tc>
        <w:tc>
          <w:tcPr>
            <w:tcW w:w="4926" w:type="dxa"/>
            <w:gridSpan w:val="5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>
          <w:trHeight w:val="314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7. Характеристика инженерной инфраструктуры</w:t>
            </w:r>
          </w:p>
        </w:tc>
      </w:tr>
      <w:tr>
        <w:trPr>
          <w:trHeight w:val="596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Вид</w:t>
              <w:br/>
              <w:t>инфраструктуры</w:t>
            </w:r>
          </w:p>
        </w:tc>
        <w:tc>
          <w:tcPr>
            <w:tcW w:w="3600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Свободная</w:t>
              <w:br/>
              <w:t>мощность</w:t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Обслуживающая</w:t>
              <w:br/>
              <w:t>компания</w:t>
            </w:r>
          </w:p>
        </w:tc>
      </w:tr>
      <w:tr>
        <w:trPr>
          <w:trHeight w:val="300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Электроснабжение</w:t>
            </w:r>
          </w:p>
        </w:tc>
        <w:tc>
          <w:tcPr>
            <w:tcW w:w="3600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 w:eastAsia="Times New Roman"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 w:eastAsia="Times New Roman" w:cs="Times New Roman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eastAsia="ru-RU"/>
              </w:rPr>
              <w:t>АО «ДРСК»</w:t>
            </w:r>
          </w:p>
        </w:tc>
      </w:tr>
      <w:tr>
        <w:trPr>
          <w:trHeight w:val="345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Газоснабжение</w:t>
            </w:r>
          </w:p>
        </w:tc>
        <w:tc>
          <w:tcPr>
            <w:tcW w:w="3600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rFonts w:ascii="Liberation Serif" w:hAnsi="Liberation Serif"/>
                <w:b w:val="false"/>
                <w:bCs w:val="false"/>
                <w:i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___________------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>
          <w:trHeight w:val="345" w:hRule="atLeast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Водоснабжение</w:t>
            </w:r>
          </w:p>
        </w:tc>
        <w:tc>
          <w:tcPr>
            <w:tcW w:w="3600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«ИСК ДВ»</w:t>
            </w:r>
          </w:p>
        </w:tc>
      </w:tr>
      <w:tr>
        <w:trPr>
          <w:trHeight w:val="345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Водоотведение</w:t>
            </w:r>
          </w:p>
        </w:tc>
        <w:tc>
          <w:tcPr>
            <w:tcW w:w="3600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«ИСК ДВ»</w:t>
            </w:r>
          </w:p>
        </w:tc>
      </w:tr>
      <w:tr>
        <w:trPr>
          <w:trHeight w:val="345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Очистные сооружения</w:t>
            </w:r>
          </w:p>
        </w:tc>
        <w:tc>
          <w:tcPr>
            <w:tcW w:w="3600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имеются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«ИСК ДВ»</w:t>
            </w:r>
          </w:p>
        </w:tc>
      </w:tr>
      <w:tr>
        <w:trPr>
          <w:trHeight w:val="360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Теплоснабжение</w:t>
            </w:r>
          </w:p>
        </w:tc>
        <w:tc>
          <w:tcPr>
            <w:tcW w:w="3600" w:type="dxa"/>
            <w:gridSpan w:val="5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централизованное</w:t>
            </w:r>
          </w:p>
        </w:tc>
        <w:tc>
          <w:tcPr>
            <w:tcW w:w="1383" w:type="dxa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037" w:type="dxa"/>
            <w:gridSpan w:val="2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eastAsia="en-US"/>
              </w:rPr>
              <w:t>АО «Кузбасэнерго»</w:t>
            </w:r>
          </w:p>
        </w:tc>
      </w:tr>
      <w:tr>
        <w:trPr>
          <w:trHeight w:val="64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8. Характеристика телекоммуникационной инфраструктуры</w:t>
            </w:r>
          </w:p>
        </w:tc>
      </w:tr>
      <w:tr>
        <w:trPr>
          <w:trHeight w:val="387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  <w:spacing w:val="-6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pacing w:val="-6"/>
                <w:sz w:val="24"/>
                <w:szCs w:val="24"/>
                <w:u w:val="none"/>
              </w:rPr>
              <w:t>Вид инфраструктуры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Наличие</w:t>
            </w:r>
          </w:p>
        </w:tc>
        <w:tc>
          <w:tcPr>
            <w:tcW w:w="5774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Cs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Наименование оператора(ов)</w:t>
            </w:r>
          </w:p>
        </w:tc>
      </w:tr>
      <w:tr>
        <w:trPr>
          <w:trHeight w:val="300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Стационарная связь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имеется</w:t>
            </w:r>
          </w:p>
        </w:tc>
        <w:tc>
          <w:tcPr>
            <w:tcW w:w="5774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АО «Ростелеком»</w:t>
            </w:r>
          </w:p>
        </w:tc>
      </w:tr>
      <w:tr>
        <w:trPr>
          <w:trHeight w:val="300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Сотовая связь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имеется</w:t>
            </w:r>
          </w:p>
        </w:tc>
        <w:tc>
          <w:tcPr>
            <w:tcW w:w="5774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АО «Ростелеком», Мегафон, МТС, Билайн</w:t>
            </w:r>
          </w:p>
        </w:tc>
      </w:tr>
      <w:tr>
        <w:trPr>
          <w:trHeight w:val="300" w:hRule="atLeast"/>
          <w:cantSplit w:val="true"/>
        </w:trPr>
        <w:tc>
          <w:tcPr>
            <w:tcW w:w="2334" w:type="dxa"/>
            <w:tcBorders>
              <w:left w:val="single" w:sz="6" w:space="0" w:color="000000"/>
              <w:bottom w:val="single" w:sz="6" w:space="0" w:color="B2B2B2"/>
              <w:right w:val="single" w:sz="6" w:space="0" w:color="B2B2B2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Интернет</w:t>
            </w:r>
          </w:p>
        </w:tc>
        <w:tc>
          <w:tcPr>
            <w:tcW w:w="1246" w:type="dxa"/>
            <w:gridSpan w:val="2"/>
            <w:tcBorders>
              <w:bottom w:val="single" w:sz="6" w:space="0" w:color="B2B2B2"/>
              <w:right w:val="single" w:sz="6" w:space="0" w:color="B2B2B2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имеется</w:t>
            </w:r>
          </w:p>
        </w:tc>
        <w:tc>
          <w:tcPr>
            <w:tcW w:w="5774" w:type="dxa"/>
            <w:gridSpan w:val="6"/>
            <w:tcBorders>
              <w:left w:val="single" w:sz="6" w:space="0" w:color="B2B2B2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i/>
                <w:i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АО «Ростелеком», Мегафон, МТС, Билайн, ООО «ЛТВ»</w:t>
            </w:r>
          </w:p>
        </w:tc>
      </w:tr>
      <w:tr>
        <w:trPr>
          <w:trHeight w:val="64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9. Дополнительная информация по площадке</w:t>
            </w:r>
          </w:p>
        </w:tc>
      </w:tr>
      <w:tr>
        <w:trPr>
          <w:trHeight w:val="300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-</w:t>
            </w:r>
          </w:p>
        </w:tc>
      </w:tr>
      <w:tr>
        <w:trPr>
          <w:trHeight w:val="300" w:hRule="atLeast"/>
          <w:cantSplit w:val="true"/>
        </w:trPr>
        <w:tc>
          <w:tcPr>
            <w:tcW w:w="9354" w:type="dxa"/>
            <w:gridSpan w:val="9"/>
            <w:tcBorders>
              <w:left w:val="single" w:sz="6" w:space="0" w:color="000000"/>
              <w:bottom w:val="single" w:sz="6" w:space="0" w:color="B2B2B2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10. Предложения по использованию площадки</w:t>
            </w:r>
          </w:p>
        </w:tc>
      </w:tr>
      <w:tr>
        <w:trPr>
          <w:trHeight w:val="300" w:hRule="atLeast"/>
          <w:cantSplit w:val="true"/>
        </w:trPr>
        <w:tc>
          <w:tcPr>
            <w:tcW w:w="9354" w:type="dxa"/>
            <w:gridSpan w:val="9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00" w:before="120" w:after="0"/>
              <w:jc w:val="left"/>
              <w:rPr>
                <w:bCs/>
              </w:rPr>
            </w:pPr>
            <w:r>
              <w:rPr>
                <w:rFonts w:ascii="Liberation Serif" w:hAnsi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Строительство гостиницы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21e1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e21e19"/>
    <w:rPr>
      <w:rFonts w:ascii="Segoe UI" w:hAnsi="Segoe UI" w:eastAsia="Times New Roman" w:cs="Segoe UI"/>
      <w:sz w:val="18"/>
      <w:szCs w:val="18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e21e19"/>
    <w:pPr/>
    <w:rPr>
      <w:rFonts w:ascii="Segoe UI" w:hAnsi="Segoe UI" w:cs="Segoe UI"/>
      <w:sz w:val="18"/>
      <w:szCs w:val="18"/>
    </w:rPr>
  </w:style>
  <w:style w:type="paragraph" w:styleId="Default" w:customStyle="1">
    <w:name w:val="Default"/>
    <w:uiPriority w:val="99"/>
    <w:qFormat/>
    <w:rsid w:val="003f0fe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LibreOffice/7.5.6.2$Linux_X86_64 LibreOffice_project/50$Build-2</Application>
  <AppVersion>15.0000</AppVersion>
  <Pages>3</Pages>
  <Words>410</Words>
  <Characters>2342</Characters>
  <CharactersWithSpaces>2747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2019-10-04T06:00:00Z</dcterms:created>
  <dc:creator>Goloha</dc:creator>
  <dc:description/>
  <dc:language>ru-RU</dc:language>
  <cp:lastModifiedBy/>
  <cp:lastPrinted>2024-08-22T08:08:19Z</cp:lastPrinted>
  <dcterms:modified xsi:type="dcterms:W3CDTF">2024-08-22T08:21:30Z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