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spacing w:before="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</w:t>
      </w:r>
    </w:p>
    <w:p>
      <w:pPr>
        <w:pStyle w:val="Normal"/>
        <w:keepNext w:val="true"/>
        <w:tabs>
          <w:tab w:val="clear" w:pos="708"/>
          <w:tab w:val="left" w:pos="9356" w:leader="none"/>
        </w:tabs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инвестиционной площадки для</w:t>
      </w:r>
    </w:p>
    <w:p>
      <w:pPr>
        <w:pStyle w:val="Normal"/>
        <w:keepNext w:val="true"/>
        <w:tabs>
          <w:tab w:val="clear" w:pos="708"/>
          <w:tab w:val="left" w:pos="9356" w:leader="none"/>
        </w:tabs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строительства на территории пгт. Лучегорск</w:t>
      </w:r>
    </w:p>
    <w:p>
      <w:pPr>
        <w:pStyle w:val="Normal"/>
        <w:keepNext w:val="true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(наименование)</w:t>
      </w:r>
    </w:p>
    <w:p>
      <w:pPr>
        <w:pStyle w:val="Normal"/>
        <w:keepNext w:val="true"/>
        <w:jc w:val="center"/>
        <w:rPr>
          <w:rFonts w:ascii="Arial" w:hAnsi="Arial" w:eastAsia="Calibri"/>
          <w:b/>
          <w:lang w:eastAsia="en-US"/>
        </w:rPr>
      </w:pPr>
      <w:r>
        <w:rPr>
          <w:rFonts w:eastAsia="Calibri" w:ascii="Arial" w:hAnsi="Arial"/>
          <w:b/>
          <w:lang w:eastAsia="en-US"/>
        </w:rPr>
      </w:r>
    </w:p>
    <w:tbl>
      <w:tblPr>
        <w:tblW w:w="5000" w:type="pct"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2336"/>
        <w:gridCol w:w="348"/>
        <w:gridCol w:w="898"/>
        <w:gridCol w:w="846"/>
        <w:gridCol w:w="1025"/>
        <w:gridCol w:w="481"/>
        <w:gridCol w:w="1383"/>
        <w:gridCol w:w="1005"/>
        <w:gridCol w:w="1032"/>
      </w:tblGrid>
      <w:tr>
        <w:trPr>
          <w:trHeight w:val="274" w:hRule="atLeast"/>
          <w:cantSplit w:val="true"/>
        </w:trPr>
        <w:tc>
          <w:tcPr>
            <w:tcW w:w="93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fill="CCCCCC" w:val="clear"/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2"/>
              </w:numPr>
              <w:spacing w:lineRule="exact" w:line="200" w:before="120" w:after="0"/>
              <w:ind w:left="714" w:hanging="697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Основные сведения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Тип площадки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</w:rPr>
              <w:t>З</w:t>
            </w:r>
            <w:r>
              <w:rPr>
                <w:rFonts w:cs="Times New Roman"/>
                <w:bCs/>
              </w:rPr>
              <w:t>емельный участок для строительства многоквартирн</w:t>
            </w:r>
            <w:r>
              <w:rPr>
                <w:rFonts w:cs="Times New Roman"/>
                <w:bCs/>
              </w:rPr>
              <w:t>ых домов</w:t>
            </w:r>
            <w:r>
              <w:rPr>
                <w:rFonts w:cs="Times New Roman"/>
                <w:bCs/>
              </w:rPr>
              <w:t xml:space="preserve"> до </w:t>
            </w:r>
            <w:r>
              <w:rPr>
                <w:rFonts w:cs="Times New Roman"/>
                <w:bCs/>
              </w:rPr>
              <w:t>5</w:t>
            </w:r>
            <w:r>
              <w:rPr>
                <w:rFonts w:cs="Times New Roman"/>
                <w:bCs/>
              </w:rPr>
              <w:t xml:space="preserve"> этажей, </w:t>
            </w:r>
            <w:r>
              <w:rPr>
                <w:rFonts w:cs="Times New Roman"/>
                <w:bCs/>
              </w:rPr>
              <w:t xml:space="preserve">общежитий, </w:t>
            </w:r>
            <w:r>
              <w:rPr>
                <w:rFonts w:cs="Times New Roman"/>
                <w:bCs/>
              </w:rPr>
              <w:t>гостиниц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Место расположения (адрес) площадки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Приморский край, Пожарский район,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пгт Лучегорск,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 мкр, 34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Форма собственности земельного участка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не разграниченная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Условия предоставления площадки 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Аренда на торгах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>
        <w:trPr>
          <w:trHeight w:val="225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exact" w:line="200" w:before="120" w:after="0"/>
              <w:ind w:left="714" w:hanging="697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Сведения о собственнике/правообладателе площадки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Организация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Администрация Пожарского муниципального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округа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Контактное лицо (Ф.И.О.)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Козак Владимир Михайлович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Должность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Глава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Пожарского муниципального округа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Телефон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8 (42357) 3347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E-mail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PozharskyMO@bk.ru</w:t>
            </w:r>
          </w:p>
        </w:tc>
      </w:tr>
      <w:tr>
        <w:trPr>
          <w:trHeight w:val="231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exact" w:line="200" w:before="120" w:after="0"/>
              <w:ind w:left="714" w:hanging="697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Характеристика площадки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Кадастровый номер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/>
              <w:t>25:15:080104:2434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Свободная площадь, м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vertAlign w:val="superscript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или га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120" w:after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>3870</w:t>
            </w: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 xml:space="preserve"> кв. м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Возможность расширения площадки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нет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Категория земель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земли населенных пунктов</w:t>
            </w:r>
          </w:p>
        </w:tc>
      </w:tr>
      <w:tr>
        <w:trPr>
          <w:trHeight w:val="545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Ограничения на использование земельного участка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Охранная зона водовода (частично) </w:t>
            </w:r>
          </w:p>
        </w:tc>
      </w:tr>
      <w:tr>
        <w:trPr>
          <w:trHeight w:val="30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 ограждений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нет</w:t>
            </w:r>
          </w:p>
        </w:tc>
      </w:tr>
      <w:tr>
        <w:trPr>
          <w:trHeight w:val="387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 зданий, сооружений</w:t>
            </w:r>
          </w:p>
        </w:tc>
        <w:tc>
          <w:tcPr>
            <w:tcW w:w="6670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Объект незавершенного строительства «60 кв. жилой дом» (свайное поле)</w:t>
            </w:r>
          </w:p>
        </w:tc>
      </w:tr>
      <w:tr>
        <w:trPr>
          <w:trHeight w:val="288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4. Основные параметры зданий и сооружений, расположенных на площадке</w:t>
            </w:r>
          </w:p>
        </w:tc>
      </w:tr>
      <w:tr>
        <w:trPr>
          <w:trHeight w:val="872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Наименование здания, сооружения</w:t>
            </w:r>
          </w:p>
        </w:tc>
        <w:tc>
          <w:tcPr>
            <w:tcW w:w="898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Площадь (м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vertAlign w:val="superscript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)</w:t>
            </w:r>
          </w:p>
        </w:tc>
        <w:tc>
          <w:tcPr>
            <w:tcW w:w="846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Этажность</w:t>
            </w:r>
          </w:p>
        </w:tc>
        <w:tc>
          <w:tcPr>
            <w:tcW w:w="1025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Высота этажа</w:t>
            </w:r>
          </w:p>
        </w:tc>
        <w:tc>
          <w:tcPr>
            <w:tcW w:w="1864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Строительный материал конструкций</w:t>
            </w:r>
          </w:p>
        </w:tc>
        <w:tc>
          <w:tcPr>
            <w:tcW w:w="1005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Степень износа</w:t>
              <w:br/>
              <w:t>(в %)</w:t>
            </w:r>
          </w:p>
        </w:tc>
        <w:tc>
          <w:tcPr>
            <w:tcW w:w="1032" w:type="dxa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Возможность расширения</w:t>
            </w:r>
          </w:p>
        </w:tc>
      </w:tr>
      <w:tr>
        <w:trPr>
          <w:trHeight w:val="390" w:hRule="atLeast"/>
          <w:cantSplit w:val="true"/>
        </w:trPr>
        <w:tc>
          <w:tcPr>
            <w:tcW w:w="2684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Свободен от строений</w:t>
            </w:r>
          </w:p>
        </w:tc>
        <w:tc>
          <w:tcPr>
            <w:tcW w:w="898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846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25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864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05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32" w:type="dxa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176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5. Характеристика транспортной доступности</w:t>
            </w:r>
          </w:p>
        </w:tc>
      </w:tr>
      <w:tr>
        <w:trPr>
          <w:trHeight w:val="39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Удаленность участка (в км или м) от: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214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ближайшего населенного пункта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 границах пгт Лучегорск</w:t>
            </w:r>
          </w:p>
        </w:tc>
      </w:tr>
      <w:tr>
        <w:trPr>
          <w:trHeight w:val="234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административного центра муниципального образования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 границах</w:t>
            </w:r>
          </w:p>
        </w:tc>
      </w:tr>
      <w:tr>
        <w:trPr>
          <w:trHeight w:val="324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г. Хабаровска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270 км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автомобильной дороги федерального/ регионального/ межмуниципального значения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350 м ФАД Хабаровск-Владивосток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железной дороги </w:t>
            </w:r>
            <w:r>
              <w:rPr>
                <w:rFonts w:ascii="Liberation Serif" w:hAnsi="Liberation Serif"/>
                <w:b w:val="false"/>
                <w:bCs w:val="false"/>
                <w:i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(указать название станции)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 км. ж.д. ст. Лучегорск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аэропорта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270 км Хабаровск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речного порта, пристани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морского порта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500 км г. Владивосток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жилых домов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м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близлежащих производственных объектов (промышленных. сельскохозяйственных, иных) </w:t>
            </w:r>
            <w:r>
              <w:rPr>
                <w:rFonts w:ascii="Liberation Serif" w:hAnsi="Liberation Serif"/>
                <w:b w:val="false"/>
                <w:bCs w:val="false"/>
                <w:i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(указать каких)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ПримГРЭС – 2,5 км</w:t>
            </w:r>
          </w:p>
        </w:tc>
      </w:tr>
      <w:tr>
        <w:trPr>
          <w:trHeight w:val="176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6. Внутренние (собственные) транспортные коммуникации</w:t>
            </w:r>
          </w:p>
        </w:tc>
      </w:tr>
      <w:tr>
        <w:trPr>
          <w:trHeight w:val="381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Тип коммуникаций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Автомобильная дорога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ул.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Виниченко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Железнодорожная ветка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Порт, пристань, аэропорт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14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7. Характеристика инженерной инфраструктуры</w:t>
            </w:r>
          </w:p>
        </w:tc>
      </w:tr>
      <w:tr>
        <w:trPr>
          <w:trHeight w:val="596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Вид</w:t>
              <w:br/>
              <w:t>инфраструктуры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Свободная</w:t>
              <w:br/>
              <w:t>мощность</w:t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Обслуживающая</w:t>
              <w:br/>
              <w:t>компания</w:t>
            </w:r>
          </w:p>
        </w:tc>
      </w:tr>
      <w:tr>
        <w:trPr>
          <w:trHeight w:val="300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Электроснабжение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 w:eastAsia="Times New Roman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 w:eastAsia="Times New Roman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  <w:t>АО «ДРСК»</w:t>
            </w:r>
          </w:p>
        </w:tc>
      </w:tr>
      <w:tr>
        <w:trPr>
          <w:trHeight w:val="345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Газоснабжение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rFonts w:ascii="Liberation Serif" w:hAnsi="Liberation Serif"/>
                <w:b w:val="false"/>
                <w:bCs w:val="false"/>
                <w:i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___________------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45" w:hRule="atLeast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Водоснабжение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ИСК ДВ»</w:t>
            </w:r>
          </w:p>
        </w:tc>
      </w:tr>
      <w:tr>
        <w:trPr>
          <w:trHeight w:val="345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Водоотведение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ИСК ДВ»</w:t>
            </w:r>
          </w:p>
        </w:tc>
      </w:tr>
      <w:tr>
        <w:trPr>
          <w:trHeight w:val="345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Очистные сооружения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имеются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ИСК ДВ»</w:t>
            </w:r>
          </w:p>
        </w:tc>
      </w:tr>
      <w:tr>
        <w:trPr>
          <w:trHeight w:val="360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Теплоснабжение</w:t>
            </w:r>
          </w:p>
        </w:tc>
        <w:tc>
          <w:tcPr>
            <w:tcW w:w="3598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>АО «</w:t>
            </w: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>Кузбасэнерго</w:t>
            </w: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>»</w:t>
            </w:r>
          </w:p>
        </w:tc>
      </w:tr>
      <w:tr>
        <w:trPr>
          <w:trHeight w:val="64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8. Характеристика телекоммуникационной инфраструктуры</w:t>
            </w:r>
          </w:p>
        </w:tc>
      </w:tr>
      <w:tr>
        <w:trPr>
          <w:trHeight w:val="387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  <w:spacing w:val="-6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pacing w:val="-6"/>
                <w:sz w:val="24"/>
                <w:szCs w:val="24"/>
                <w:u w:val="none"/>
              </w:rPr>
              <w:t>Вид инфраструктуры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</w:t>
            </w:r>
          </w:p>
        </w:tc>
        <w:tc>
          <w:tcPr>
            <w:tcW w:w="5772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Наименование оператора(ов)</w:t>
            </w:r>
          </w:p>
        </w:tc>
      </w:tr>
      <w:tr>
        <w:trPr>
          <w:trHeight w:val="300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Стационарная связь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имеется</w:t>
            </w:r>
          </w:p>
        </w:tc>
        <w:tc>
          <w:tcPr>
            <w:tcW w:w="5772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АО «Ростелеком»</w:t>
            </w:r>
          </w:p>
        </w:tc>
      </w:tr>
      <w:tr>
        <w:trPr>
          <w:trHeight w:val="300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Сотовая связь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имеется</w:t>
            </w:r>
          </w:p>
        </w:tc>
        <w:tc>
          <w:tcPr>
            <w:tcW w:w="5772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АО «Ростелеком», Мегафон, МТС, Билайн</w:t>
            </w:r>
          </w:p>
        </w:tc>
      </w:tr>
      <w:tr>
        <w:trPr>
          <w:trHeight w:val="300" w:hRule="atLeast"/>
          <w:cantSplit w:val="true"/>
        </w:trPr>
        <w:tc>
          <w:tcPr>
            <w:tcW w:w="2336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Интернет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имеется</w:t>
            </w:r>
          </w:p>
        </w:tc>
        <w:tc>
          <w:tcPr>
            <w:tcW w:w="5772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АО «Ростелеком», Мегафон, МТС, Билайн, ООО «ЛТВ»</w:t>
            </w:r>
          </w:p>
        </w:tc>
      </w:tr>
      <w:tr>
        <w:trPr>
          <w:trHeight w:val="64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9. Дополнительная информация по площадке</w:t>
            </w:r>
          </w:p>
        </w:tc>
      </w:tr>
      <w:tr>
        <w:trPr>
          <w:trHeight w:val="300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-</w:t>
            </w:r>
          </w:p>
        </w:tc>
      </w:tr>
      <w:tr>
        <w:trPr>
          <w:trHeight w:val="300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10. Предложения по использованию площадки</w:t>
            </w:r>
          </w:p>
        </w:tc>
      </w:tr>
      <w:tr>
        <w:trPr>
          <w:trHeight w:val="300" w:hRule="atLeast"/>
          <w:cantSplit w:val="true"/>
        </w:trPr>
        <w:tc>
          <w:tcPr>
            <w:tcW w:w="9354" w:type="dxa"/>
            <w:gridSpan w:val="9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Строительство многоквартирного дома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21e1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e21e19"/>
    <w:rPr>
      <w:rFonts w:ascii="Segoe UI" w:hAnsi="Segoe UI" w:eastAsia="Times New Roman" w:cs="Segoe UI"/>
      <w:sz w:val="18"/>
      <w:szCs w:val="18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e21e19"/>
    <w:pPr/>
    <w:rPr>
      <w:rFonts w:ascii="Segoe UI" w:hAnsi="Segoe UI" w:cs="Segoe UI"/>
      <w:sz w:val="18"/>
      <w:szCs w:val="18"/>
    </w:rPr>
  </w:style>
  <w:style w:type="paragraph" w:styleId="Default" w:customStyle="1">
    <w:name w:val="Default"/>
    <w:uiPriority w:val="99"/>
    <w:qFormat/>
    <w:rsid w:val="003f0fe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LibreOffice/7.5.6.2$Linux_X86_64 LibreOffice_project/50$Build-2</Application>
  <AppVersion>15.0000</AppVersion>
  <Pages>3</Pages>
  <Words>410</Words>
  <Characters>2342</Characters>
  <CharactersWithSpaces>2747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2019-10-04T06:00:00Z</dcterms:created>
  <dc:creator>Goloha</dc:creator>
  <dc:description/>
  <dc:language>ru-RU</dc:language>
  <cp:lastModifiedBy/>
  <cp:lastPrinted>2019-10-02T23:13:00Z</cp:lastPrinted>
  <dcterms:modified xsi:type="dcterms:W3CDTF">2024-08-02T17:46:50Z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