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4766" w:rsidRDefault="002055B2" w:rsidP="003E0F7D">
      <w:pPr>
        <w:pStyle w:val="a3"/>
        <w:spacing w:before="0" w:beforeAutospacing="0" w:after="0" w:afterAutospacing="0"/>
      </w:pPr>
      <w:r>
        <w:t>0</w:t>
      </w:r>
      <w:r w:rsidR="0094632D">
        <w:t>7</w:t>
      </w:r>
      <w:r w:rsidR="00113481" w:rsidRPr="00C14766">
        <w:t xml:space="preserve"> </w:t>
      </w:r>
      <w:r>
        <w:t>октября</w:t>
      </w:r>
      <w:r w:rsidR="008A1BF3" w:rsidRPr="00C14766">
        <w:t xml:space="preserve"> </w:t>
      </w:r>
      <w:r w:rsidR="00C641CF" w:rsidRPr="00C14766">
        <w:t>20</w:t>
      </w:r>
      <w:r w:rsidR="00526FDD" w:rsidRPr="00C14766">
        <w:t>24</w:t>
      </w:r>
      <w:r w:rsidR="001D5830" w:rsidRPr="00C14766">
        <w:t xml:space="preserve"> год</w:t>
      </w:r>
      <w:r w:rsidR="001D5830" w:rsidRPr="00C14766">
        <w:tab/>
      </w:r>
      <w:r w:rsidR="001D5830" w:rsidRPr="00C14766">
        <w:tab/>
      </w:r>
      <w:r w:rsidR="001D5830" w:rsidRPr="00C14766">
        <w:tab/>
      </w:r>
      <w:r w:rsidR="001D5830" w:rsidRPr="00C14766">
        <w:tab/>
      </w:r>
      <w:r w:rsidR="001D5830" w:rsidRPr="00C14766">
        <w:tab/>
      </w:r>
      <w:r w:rsidR="001D5830" w:rsidRPr="00C14766">
        <w:tab/>
      </w:r>
      <w:r w:rsidR="001D5830" w:rsidRPr="00C14766">
        <w:tab/>
        <w:t xml:space="preserve">     </w:t>
      </w:r>
      <w:r w:rsidR="00661DCA">
        <w:t xml:space="preserve">                     </w:t>
      </w:r>
      <w:r w:rsidR="001D5830" w:rsidRPr="00C14766">
        <w:t xml:space="preserve">   </w:t>
      </w:r>
      <w:r w:rsidR="00221EE1" w:rsidRPr="00C14766">
        <w:t xml:space="preserve"> </w:t>
      </w:r>
      <w:r w:rsidR="00DD0DD9" w:rsidRPr="00C14766">
        <w:t xml:space="preserve">  </w:t>
      </w:r>
      <w:r w:rsidR="001E58CB">
        <w:t xml:space="preserve">  </w:t>
      </w:r>
      <w:r w:rsidR="00526FDD" w:rsidRPr="00C14766">
        <w:t xml:space="preserve">№ </w:t>
      </w:r>
      <w:r>
        <w:t>88</w:t>
      </w:r>
      <w:r w:rsidR="007828E0" w:rsidRPr="00C14766">
        <w:t xml:space="preserve"> (э)</w:t>
      </w:r>
    </w:p>
    <w:p w:rsidR="00C641CF" w:rsidRPr="00C14766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4766" w:rsidTr="00B00DF2">
        <w:tc>
          <w:tcPr>
            <w:tcW w:w="4068" w:type="dxa"/>
            <w:shd w:val="clear" w:color="auto" w:fill="auto"/>
          </w:tcPr>
          <w:p w:rsidR="00C641CF" w:rsidRPr="00C14766" w:rsidRDefault="00890B7C" w:rsidP="002E0152">
            <w:pPr>
              <w:pStyle w:val="a3"/>
              <w:spacing w:before="0" w:beforeAutospacing="0" w:after="0" w:afterAutospacing="0"/>
            </w:pPr>
            <w:r w:rsidRPr="00C14766">
              <w:t xml:space="preserve">По результатам экспертизы проекта постановления администрации </w:t>
            </w:r>
            <w:r w:rsidR="00146265" w:rsidRPr="00C14766">
              <w:t>Пожарского муниципального округа</w:t>
            </w:r>
            <w:r w:rsidR="00F14E48" w:rsidRPr="00C14766">
              <w:t xml:space="preserve"> «О внесении изменений в постановление администрации </w:t>
            </w:r>
            <w:r w:rsidR="00B06CD4" w:rsidRPr="00C14766">
              <w:t>Пожарс</w:t>
            </w:r>
            <w:r w:rsidR="002E0152" w:rsidRPr="00C14766">
              <w:t>кого муниципального района от 30.12.2022г. № 1067</w:t>
            </w:r>
            <w:r w:rsidR="00F14E48" w:rsidRPr="00C14766">
              <w:t>-па</w:t>
            </w:r>
            <w:r w:rsidRPr="00C14766">
              <w:t xml:space="preserve"> </w:t>
            </w:r>
            <w:r w:rsidR="00776608" w:rsidRPr="00C14766">
              <w:t>«Об утверждении</w:t>
            </w:r>
            <w:r w:rsidR="00BA152F" w:rsidRPr="00C14766">
              <w:t xml:space="preserve"> </w:t>
            </w:r>
            <w:r w:rsidR="00776608" w:rsidRPr="00C14766">
              <w:t>муниципальной</w:t>
            </w:r>
            <w:r w:rsidR="009143D8" w:rsidRPr="00C14766">
              <w:t xml:space="preserve"> </w:t>
            </w:r>
            <w:r w:rsidR="00776608" w:rsidRPr="00C14766">
              <w:t>программы</w:t>
            </w:r>
            <w:r w:rsidR="00D943B9" w:rsidRPr="00C14766">
              <w:t xml:space="preserve"> «</w:t>
            </w:r>
            <w:r w:rsidR="002E0152" w:rsidRPr="00C14766">
              <w:t>Улучшение уличного освещения Пожарского му</w:t>
            </w:r>
            <w:r w:rsidR="00001253" w:rsidRPr="00C14766">
              <w:t>ниципального округа на 2023-2026</w:t>
            </w:r>
            <w:r w:rsidR="002E0152" w:rsidRPr="00C14766">
              <w:t xml:space="preserve"> годы»</w:t>
            </w:r>
          </w:p>
        </w:tc>
      </w:tr>
    </w:tbl>
    <w:p w:rsidR="00053005" w:rsidRPr="00AB121F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  <w:r w:rsidRPr="00C14766">
        <w:rPr>
          <w:rFonts w:ascii="Verdana" w:hAnsi="Verdana"/>
        </w:rPr>
        <w:br w:type="textWrapping" w:clear="all"/>
      </w:r>
    </w:p>
    <w:p w:rsidR="00DD0DD9" w:rsidRPr="00C14766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C14766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Заключение по </w:t>
      </w:r>
      <w:r w:rsidR="00AC26E4" w:rsidRPr="00C14766">
        <w:t xml:space="preserve">результатам </w:t>
      </w:r>
      <w:r w:rsidR="00890B7C" w:rsidRPr="00C14766">
        <w:t>экспертизы проекта постановления администрации П</w:t>
      </w:r>
      <w:r w:rsidR="00BC0D28" w:rsidRPr="00C14766">
        <w:t>ожа</w:t>
      </w:r>
      <w:r w:rsidR="00FC7590" w:rsidRPr="00C14766">
        <w:t>рского муницип</w:t>
      </w:r>
      <w:r w:rsidR="00672ED9" w:rsidRPr="00C14766">
        <w:t>ального округа</w:t>
      </w:r>
      <w:r w:rsidR="00BA152F" w:rsidRPr="00C14766">
        <w:t xml:space="preserve"> </w:t>
      </w:r>
      <w:r w:rsidR="002E0152" w:rsidRPr="00C14766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</w:t>
      </w:r>
      <w:r w:rsidR="00001253" w:rsidRPr="00C14766">
        <w:t>ниципального округа на 2023-2026</w:t>
      </w:r>
      <w:r w:rsidR="002E0152" w:rsidRPr="00C14766">
        <w:t xml:space="preserve"> годы» </w:t>
      </w:r>
      <w:r w:rsidRPr="00C14766">
        <w:t>подготовлено в соответствии</w:t>
      </w:r>
      <w:r w:rsidR="006B0DC8" w:rsidRPr="00C14766">
        <w:t xml:space="preserve"> с:</w:t>
      </w:r>
    </w:p>
    <w:p w:rsidR="006B0DC8" w:rsidRPr="00C14766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 </w:t>
      </w:r>
      <w:r w:rsidR="00C641CF" w:rsidRPr="00C14766">
        <w:t>Б</w:t>
      </w:r>
      <w:r w:rsidR="00ED07C7" w:rsidRPr="00C14766">
        <w:t>юджетным кодексом</w:t>
      </w:r>
      <w:r w:rsidR="00084546" w:rsidRPr="00C14766">
        <w:t xml:space="preserve"> Р</w:t>
      </w:r>
      <w:r w:rsidR="00ED07C7" w:rsidRPr="00C14766">
        <w:t xml:space="preserve">оссийской </w:t>
      </w:r>
      <w:r w:rsidR="00084546" w:rsidRPr="00C14766">
        <w:t>Ф</w:t>
      </w:r>
      <w:r w:rsidR="00ED07C7" w:rsidRPr="00C14766">
        <w:t xml:space="preserve">едерации </w:t>
      </w:r>
      <w:r w:rsidR="00F001C0" w:rsidRPr="00C14766">
        <w:t>(</w:t>
      </w:r>
      <w:r w:rsidR="00ED07C7" w:rsidRPr="00C14766">
        <w:t>далее –</w:t>
      </w:r>
      <w:r w:rsidRPr="00C14766">
        <w:t xml:space="preserve"> </w:t>
      </w:r>
      <w:r w:rsidR="00ED07C7" w:rsidRPr="00C14766">
        <w:t>БК РФ)</w:t>
      </w:r>
      <w:r w:rsidRPr="00C14766">
        <w:t>;</w:t>
      </w:r>
    </w:p>
    <w:p w:rsidR="00FB1841" w:rsidRPr="00C14766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4766">
          <w:t>2011 г</w:t>
        </w:r>
      </w:smartTag>
      <w:r w:rsidRPr="00C14766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4766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4766">
          <w:t>2011 г</w:t>
        </w:r>
      </w:smartTag>
      <w:r w:rsidR="001F1D96" w:rsidRPr="00C14766">
        <w:t>. N 6-ФЗ)</w:t>
      </w:r>
      <w:r w:rsidRPr="00C14766">
        <w:t>;</w:t>
      </w:r>
    </w:p>
    <w:p w:rsidR="006B0DC8" w:rsidRPr="00C14766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 Положением о бюджетном </w:t>
      </w:r>
      <w:r w:rsidR="000B2C1E" w:rsidRPr="00C14766">
        <w:t>процессе</w:t>
      </w:r>
      <w:r w:rsidR="00911BAC" w:rsidRPr="00C14766">
        <w:t xml:space="preserve"> и </w:t>
      </w:r>
      <w:r w:rsidR="000B2C1E" w:rsidRPr="00C14766">
        <w:t>межбюджетных отношениях в</w:t>
      </w:r>
      <w:r w:rsidR="00A53CFD" w:rsidRPr="00C14766">
        <w:t xml:space="preserve"> Пожарском муниципальном округе</w:t>
      </w:r>
      <w:r w:rsidRPr="00C14766">
        <w:t xml:space="preserve">, </w:t>
      </w:r>
      <w:r w:rsidR="006B0DC8" w:rsidRPr="00C14766">
        <w:t>утвержде</w:t>
      </w:r>
      <w:r w:rsidR="00FC7590" w:rsidRPr="00C14766">
        <w:t>нным нормативным правовым актом</w:t>
      </w:r>
      <w:r w:rsidR="000B2C1E" w:rsidRPr="00C14766">
        <w:t xml:space="preserve"> Думы Пожарс</w:t>
      </w:r>
      <w:r w:rsidR="00A53CFD" w:rsidRPr="00C14766">
        <w:t>кого муниципального округа от 8.11.2022г. № 13</w:t>
      </w:r>
      <w:r w:rsidR="00FC7590" w:rsidRPr="00C14766">
        <w:t xml:space="preserve"> - НПА</w:t>
      </w:r>
      <w:r w:rsidR="006B0DC8" w:rsidRPr="00C14766">
        <w:t xml:space="preserve"> (далее – </w:t>
      </w:r>
      <w:r w:rsidR="007337E4" w:rsidRPr="00C14766">
        <w:t>Положение о бюджетном процессе</w:t>
      </w:r>
      <w:r w:rsidR="006B0DC8" w:rsidRPr="00C14766">
        <w:t>);</w:t>
      </w:r>
    </w:p>
    <w:p w:rsidR="00CB5024" w:rsidRPr="00C14766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 </w:t>
      </w:r>
      <w:r w:rsidR="00BE0EC9" w:rsidRPr="00C14766">
        <w:t xml:space="preserve">Статьей 8 Положения о Контрольно-счетной палате </w:t>
      </w:r>
      <w:r w:rsidR="00A53CFD" w:rsidRPr="00C14766">
        <w:t>Пожарского муниципального округа</w:t>
      </w:r>
      <w:r w:rsidR="00BE0EC9" w:rsidRPr="00C14766">
        <w:t>, утвержденного нормативным правовым актом Думы Пожарского муници</w:t>
      </w:r>
      <w:r w:rsidR="00A53CFD" w:rsidRPr="00C14766">
        <w:t>пального округа от 30.09.2022 г. № 05</w:t>
      </w:r>
      <w:r w:rsidR="003531F4" w:rsidRPr="00C14766">
        <w:t xml:space="preserve"> - НПА</w:t>
      </w:r>
      <w:r w:rsidR="006B0DC8" w:rsidRPr="00C14766">
        <w:t>).</w:t>
      </w:r>
    </w:p>
    <w:p w:rsidR="00DD0DD9" w:rsidRPr="00AB121F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10"/>
          <w:szCs w:val="10"/>
        </w:rPr>
      </w:pPr>
    </w:p>
    <w:p w:rsidR="00457F49" w:rsidRPr="00C14766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</w:rPr>
      </w:pPr>
      <w:r w:rsidRPr="00C14766">
        <w:rPr>
          <w:b/>
        </w:rPr>
        <w:t xml:space="preserve"> Заключение</w:t>
      </w:r>
    </w:p>
    <w:p w:rsidR="001F24D2" w:rsidRPr="00AB121F" w:rsidRDefault="001F24D2" w:rsidP="002055B2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747B86" w:rsidRDefault="00747B86" w:rsidP="001F24D2">
      <w:pPr>
        <w:spacing w:line="276" w:lineRule="auto"/>
        <w:ind w:firstLine="539"/>
        <w:jc w:val="both"/>
      </w:pPr>
      <w:r>
        <w:t>Согласно пояснительной записке внесение изменений в муниципальную программу «</w:t>
      </w:r>
      <w:r w:rsidRPr="00C14766">
        <w:t>Улучшение уличного освещения Пожарского муниципального округа на 2023-2026 годы</w:t>
      </w:r>
      <w:r>
        <w:t xml:space="preserve">», утвержденную </w:t>
      </w:r>
      <w:r w:rsidRPr="00C14766">
        <w:t>постановление</w:t>
      </w:r>
      <w:r>
        <w:t>м</w:t>
      </w:r>
      <w:r w:rsidRPr="00C14766">
        <w:t xml:space="preserve"> администрации Пожарского муниципального района от 30.12.2022г. № 1067-па</w:t>
      </w:r>
      <w:r>
        <w:t>, обусловлено</w:t>
      </w:r>
      <w:r w:rsidRPr="00C14766">
        <w:t xml:space="preserve"> </w:t>
      </w:r>
      <w:r w:rsidRPr="00210E39">
        <w:t>необходимостью</w:t>
      </w:r>
      <w:r>
        <w:t xml:space="preserve"> увеличения денежных средств на технологическое присоединение к электрическим сетям объектов, расположенных на территории Пожарского муниципального округа</w:t>
      </w:r>
      <w:r>
        <w:t>.</w:t>
      </w:r>
    </w:p>
    <w:p w:rsidR="001F24D2" w:rsidRPr="00C14766" w:rsidRDefault="001F24D2" w:rsidP="001F24D2">
      <w:pPr>
        <w:spacing w:line="276" w:lineRule="auto"/>
        <w:ind w:firstLine="539"/>
        <w:jc w:val="both"/>
      </w:pPr>
      <w:r w:rsidRPr="00C14766">
        <w:t xml:space="preserve">В ходе экспертизы </w:t>
      </w:r>
      <w:proofErr w:type="spellStart"/>
      <w:r w:rsidRPr="00C14766">
        <w:t>Контрольно</w:t>
      </w:r>
      <w:proofErr w:type="spellEnd"/>
      <w:r w:rsidRPr="00C14766">
        <w:t xml:space="preserve"> – счетной палатой Пожарского муниципального округа установлено следующее:</w:t>
      </w:r>
    </w:p>
    <w:p w:rsidR="001F24D2" w:rsidRPr="00C14766" w:rsidRDefault="001F24D2" w:rsidP="001F24D2">
      <w:pPr>
        <w:spacing w:line="276" w:lineRule="auto"/>
        <w:ind w:firstLine="539"/>
        <w:jc w:val="both"/>
      </w:pPr>
      <w:r w:rsidRPr="00C14766">
        <w:t xml:space="preserve"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</w:t>
      </w:r>
      <w:r w:rsidRPr="00C14766">
        <w:lastRenderedPageBreak/>
        <w:t>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1F24D2" w:rsidRPr="00C14766" w:rsidRDefault="001F24D2" w:rsidP="001F24D2">
      <w:pPr>
        <w:spacing w:line="276" w:lineRule="auto"/>
        <w:ind w:firstLine="539"/>
        <w:jc w:val="both"/>
      </w:pPr>
      <w:r w:rsidRPr="00C14766">
        <w:t xml:space="preserve">В ходе экспертизы </w:t>
      </w:r>
      <w:proofErr w:type="spellStart"/>
      <w:r w:rsidRPr="00C14766">
        <w:t>Контрольно</w:t>
      </w:r>
      <w:proofErr w:type="spellEnd"/>
      <w:r w:rsidRPr="00C14766">
        <w:t xml:space="preserve"> – счетной палатой Пожарского муниципального округа установлено следующее:</w:t>
      </w:r>
    </w:p>
    <w:p w:rsidR="001F24D2" w:rsidRPr="00C14766" w:rsidRDefault="001F24D2" w:rsidP="001F24D2">
      <w:pPr>
        <w:spacing w:line="276" w:lineRule="auto"/>
        <w:ind w:firstLine="539"/>
        <w:jc w:val="both"/>
      </w:pPr>
      <w:r w:rsidRPr="00C14766">
        <w:t>В соответствии с ч. 3 Порядка № 177-па муниципальная программа имеет следующую структуру:</w:t>
      </w:r>
    </w:p>
    <w:p w:rsidR="001F24D2" w:rsidRPr="00C14766" w:rsidRDefault="001F24D2" w:rsidP="001F24D2">
      <w:pPr>
        <w:spacing w:line="276" w:lineRule="auto"/>
        <w:ind w:firstLine="539"/>
        <w:jc w:val="both"/>
      </w:pPr>
      <w:r w:rsidRPr="00C14766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1F24D2" w:rsidRPr="00C14766" w:rsidRDefault="001F24D2" w:rsidP="001F24D2">
      <w:pPr>
        <w:spacing w:line="276" w:lineRule="auto"/>
        <w:ind w:firstLine="539"/>
        <w:jc w:val="both"/>
      </w:pPr>
      <w:r w:rsidRPr="00C14766">
        <w:t>- текстовая часть.</w:t>
      </w:r>
    </w:p>
    <w:p w:rsidR="001F24D2" w:rsidRPr="00C14766" w:rsidRDefault="001F24D2" w:rsidP="001F24D2">
      <w:pPr>
        <w:spacing w:line="276" w:lineRule="auto"/>
        <w:ind w:firstLine="539"/>
        <w:jc w:val="both"/>
      </w:pPr>
      <w:r w:rsidRPr="00C14766">
        <w:t>В целом структура предложенного проекта программы соответствует требованиям, установленного Порядка.</w:t>
      </w:r>
    </w:p>
    <w:p w:rsidR="001F24D2" w:rsidRPr="00C14766" w:rsidRDefault="001F24D2" w:rsidP="001F24D2">
      <w:pPr>
        <w:spacing w:line="276" w:lineRule="auto"/>
        <w:ind w:firstLine="539"/>
        <w:jc w:val="both"/>
      </w:pPr>
      <w:r w:rsidRPr="00C14766">
        <w:t>Заказчиком программы согласно паспорту, является администрация Пожарского муниципального округа.</w:t>
      </w:r>
    </w:p>
    <w:p w:rsidR="001F24D2" w:rsidRPr="00C14766" w:rsidRDefault="001F24D2" w:rsidP="001F24D2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Срок реализации Программы определен 2023 – 2026 годы.</w:t>
      </w:r>
    </w:p>
    <w:p w:rsidR="001F24D2" w:rsidRPr="00C14766" w:rsidRDefault="001F24D2" w:rsidP="001F24D2">
      <w:pPr>
        <w:autoSpaceDE w:val="0"/>
        <w:autoSpaceDN w:val="0"/>
        <w:adjustRightInd w:val="0"/>
        <w:ind w:firstLine="708"/>
        <w:jc w:val="both"/>
      </w:pPr>
      <w:r w:rsidRPr="00C14766">
        <w:t>Основной целью программы является обеспечение электроснабжения населения и уличного освещения в границах Пожарского муниципального округа Приморского края. Повышение надежности электроснабжения и уличного освещения путем ремонта и технического обслуживания электросетей.</w:t>
      </w:r>
    </w:p>
    <w:p w:rsidR="001F24D2" w:rsidRPr="00C14766" w:rsidRDefault="001F24D2" w:rsidP="001F24D2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Исключение аварийных ситуаций на объектах электроснабжения и уличного освещения Пожарского муниципального округа.</w:t>
      </w:r>
    </w:p>
    <w:p w:rsidR="001443AB" w:rsidRPr="00C14766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</w:pPr>
      <w:r w:rsidRPr="00C14766">
        <w:t>О</w:t>
      </w:r>
      <w:r w:rsidR="001F7BEE" w:rsidRPr="00C14766">
        <w:t>бщий объем финансирования</w:t>
      </w:r>
      <w:r w:rsidR="00B5678C" w:rsidRPr="00C14766">
        <w:t xml:space="preserve"> программы согласно</w:t>
      </w:r>
      <w:r w:rsidR="0061300F" w:rsidRPr="00C14766">
        <w:t xml:space="preserve"> проекта</w:t>
      </w:r>
      <w:r w:rsidR="00B5678C" w:rsidRPr="00C14766">
        <w:t xml:space="preserve"> </w:t>
      </w:r>
      <w:r w:rsidR="006F5BC9" w:rsidRPr="00C14766">
        <w:t>постановления</w:t>
      </w:r>
      <w:r w:rsidR="00BA4A80" w:rsidRPr="00C14766">
        <w:t xml:space="preserve"> </w:t>
      </w:r>
      <w:r w:rsidR="00B5678C" w:rsidRPr="00C14766">
        <w:t xml:space="preserve">определен в сумме </w:t>
      </w:r>
      <w:r w:rsidR="0060570F" w:rsidRPr="00C14766">
        <w:t>2</w:t>
      </w:r>
      <w:r w:rsidR="00394A1E">
        <w:t>8</w:t>
      </w:r>
      <w:r w:rsidR="0060570F" w:rsidRPr="00C14766">
        <w:t> </w:t>
      </w:r>
      <w:r w:rsidR="00394A1E">
        <w:t>898</w:t>
      </w:r>
      <w:r w:rsidR="0060570F" w:rsidRPr="00C14766">
        <w:t> </w:t>
      </w:r>
      <w:r w:rsidR="00394A1E">
        <w:t>420</w:t>
      </w:r>
      <w:r w:rsidR="0060570F" w:rsidRPr="00C14766">
        <w:t>,</w:t>
      </w:r>
      <w:r w:rsidR="00394A1E">
        <w:t>40</w:t>
      </w:r>
      <w:r w:rsidR="00C00BD2" w:rsidRPr="00C14766">
        <w:t xml:space="preserve"> руб., в том числе: за счет средств бюджета</w:t>
      </w:r>
      <w:r w:rsidR="0060570F" w:rsidRPr="00C14766">
        <w:t xml:space="preserve"> Приморского края – </w:t>
      </w:r>
      <w:r w:rsidR="00394A1E">
        <w:t>3</w:t>
      </w:r>
      <w:r w:rsidR="0060570F" w:rsidRPr="00C14766">
        <w:t> </w:t>
      </w:r>
      <w:r w:rsidR="00394A1E">
        <w:t>726</w:t>
      </w:r>
      <w:r w:rsidR="0060570F" w:rsidRPr="00C14766">
        <w:t> </w:t>
      </w:r>
      <w:r w:rsidR="00394A1E">
        <w:t>897</w:t>
      </w:r>
      <w:r w:rsidR="0060570F" w:rsidRPr="00C14766">
        <w:t>,</w:t>
      </w:r>
      <w:r w:rsidR="00394A1E">
        <w:t>37</w:t>
      </w:r>
      <w:r w:rsidR="00C00BD2" w:rsidRPr="00C14766">
        <w:t xml:space="preserve"> руб.; за счет средств бюджета округа – 2</w:t>
      </w:r>
      <w:r w:rsidR="00394A1E">
        <w:t>5</w:t>
      </w:r>
      <w:r w:rsidR="00C00BD2" w:rsidRPr="00C14766">
        <w:t> 171 523,03 руб.</w:t>
      </w:r>
    </w:p>
    <w:p w:rsidR="001443AB" w:rsidRPr="00C14766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 xml:space="preserve">Объем финансирования по годам </w:t>
      </w:r>
      <w:r w:rsidR="001443AB" w:rsidRPr="00C14766">
        <w:t>реализации</w:t>
      </w:r>
      <w:r w:rsidRPr="00C14766">
        <w:t xml:space="preserve"> согласно предложенного проекта</w:t>
      </w:r>
      <w:r w:rsidR="007147CD" w:rsidRPr="00C14766">
        <w:t xml:space="preserve"> составляет</w:t>
      </w:r>
      <w:r w:rsidR="001443AB" w:rsidRPr="00C14766">
        <w:t>:</w:t>
      </w:r>
    </w:p>
    <w:p w:rsidR="00E52054" w:rsidRPr="00C14766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- 2023</w:t>
      </w:r>
      <w:r w:rsidR="00384207" w:rsidRPr="00C14766">
        <w:t xml:space="preserve"> год – </w:t>
      </w:r>
      <w:r w:rsidR="00C00BD2" w:rsidRPr="00C14766">
        <w:t>5 736 304,00</w:t>
      </w:r>
      <w:r w:rsidR="00DB4294" w:rsidRPr="00C14766">
        <w:t xml:space="preserve"> </w:t>
      </w:r>
      <w:r w:rsidR="008E4F44" w:rsidRPr="00C14766">
        <w:t>руб. -</w:t>
      </w:r>
      <w:r w:rsidR="007147CD" w:rsidRPr="00C14766">
        <w:t>за с</w:t>
      </w:r>
      <w:r w:rsidR="009A0E1F" w:rsidRPr="00C14766">
        <w:t>ч</w:t>
      </w:r>
      <w:r w:rsidR="00CD52B6" w:rsidRPr="00C14766">
        <w:t>е</w:t>
      </w:r>
      <w:r w:rsidRPr="00C14766">
        <w:t>т сред</w:t>
      </w:r>
      <w:r w:rsidR="008D087C" w:rsidRPr="00C14766">
        <w:t>с</w:t>
      </w:r>
      <w:r w:rsidR="002416E4" w:rsidRPr="00C14766">
        <w:t>тв</w:t>
      </w:r>
      <w:r w:rsidR="00F73C7A" w:rsidRPr="00C14766">
        <w:t xml:space="preserve"> </w:t>
      </w:r>
      <w:r w:rsidR="008E4F44" w:rsidRPr="00C14766">
        <w:t>местного бюджета</w:t>
      </w:r>
      <w:r w:rsidR="009A0E1F" w:rsidRPr="00C14766">
        <w:t>;</w:t>
      </w:r>
      <w:r w:rsidR="007147CD" w:rsidRPr="00C14766">
        <w:t xml:space="preserve"> </w:t>
      </w:r>
    </w:p>
    <w:p w:rsidR="00384207" w:rsidRPr="00C14766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- 2024</w:t>
      </w:r>
      <w:r w:rsidR="00384207" w:rsidRPr="00C14766">
        <w:t xml:space="preserve"> год –</w:t>
      </w:r>
      <w:r w:rsidR="00C41B94" w:rsidRPr="00C14766">
        <w:t xml:space="preserve"> </w:t>
      </w:r>
      <w:r w:rsidR="00394A1E">
        <w:t>13</w:t>
      </w:r>
      <w:r w:rsidR="00C41B94" w:rsidRPr="00C14766">
        <w:t> </w:t>
      </w:r>
      <w:r w:rsidR="00394A1E">
        <w:t>291</w:t>
      </w:r>
      <w:r w:rsidR="00C41B94" w:rsidRPr="00C14766">
        <w:t> </w:t>
      </w:r>
      <w:r w:rsidR="00394A1E">
        <w:t>437</w:t>
      </w:r>
      <w:r w:rsidR="00C41B94" w:rsidRPr="00C14766">
        <w:t>,</w:t>
      </w:r>
      <w:r w:rsidR="00394A1E">
        <w:t>40</w:t>
      </w:r>
      <w:r w:rsidR="008D087C" w:rsidRPr="00C14766">
        <w:t xml:space="preserve"> руб.</w:t>
      </w:r>
      <w:r w:rsidR="005720F0" w:rsidRPr="00C14766">
        <w:t>, в том числе: за счет средств бюджет</w:t>
      </w:r>
      <w:r w:rsidR="00C41B94" w:rsidRPr="00C14766">
        <w:t xml:space="preserve">а Приморского края – </w:t>
      </w:r>
      <w:r w:rsidR="00394A1E">
        <w:t>3</w:t>
      </w:r>
      <w:r w:rsidR="00C41B94" w:rsidRPr="00C14766">
        <w:t> </w:t>
      </w:r>
      <w:r w:rsidR="00394A1E">
        <w:t>726</w:t>
      </w:r>
      <w:r w:rsidR="00C41B94" w:rsidRPr="00C14766">
        <w:t> </w:t>
      </w:r>
      <w:r w:rsidR="00394A1E">
        <w:t>897</w:t>
      </w:r>
      <w:r w:rsidR="00C41B94" w:rsidRPr="00C14766">
        <w:t>,</w:t>
      </w:r>
      <w:r w:rsidR="00394A1E">
        <w:t>37</w:t>
      </w:r>
      <w:r w:rsidR="005720F0" w:rsidRPr="00C14766">
        <w:t xml:space="preserve"> руб.; </w:t>
      </w:r>
      <w:r w:rsidR="007147CD" w:rsidRPr="00C14766">
        <w:t>за с</w:t>
      </w:r>
      <w:r w:rsidR="009A0E1F" w:rsidRPr="00C14766">
        <w:t>ч</w:t>
      </w:r>
      <w:r w:rsidR="008D087C" w:rsidRPr="00C14766">
        <w:t>ет средств местного бюджета</w:t>
      </w:r>
      <w:r w:rsidR="005720F0" w:rsidRPr="00C14766">
        <w:t xml:space="preserve"> – </w:t>
      </w:r>
      <w:r w:rsidR="00394A1E">
        <w:t>9</w:t>
      </w:r>
      <w:r w:rsidR="005720F0" w:rsidRPr="00C14766">
        <w:t> 564 540,03</w:t>
      </w:r>
      <w:r w:rsidR="00C41B94" w:rsidRPr="00C14766">
        <w:t xml:space="preserve"> тыс. руб.</w:t>
      </w:r>
      <w:r w:rsidR="007147CD" w:rsidRPr="00C14766">
        <w:t>;</w:t>
      </w:r>
    </w:p>
    <w:p w:rsidR="007147CD" w:rsidRPr="00C14766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- 2025</w:t>
      </w:r>
      <w:r w:rsidR="005720F0" w:rsidRPr="00C14766">
        <w:t xml:space="preserve"> год – 4 878 076,0</w:t>
      </w:r>
      <w:r w:rsidR="008D31F5" w:rsidRPr="00C14766">
        <w:t xml:space="preserve"> руб.</w:t>
      </w:r>
      <w:r w:rsidR="00F73C7A" w:rsidRPr="00C14766">
        <w:t xml:space="preserve"> - </w:t>
      </w:r>
      <w:r w:rsidRPr="00C14766">
        <w:t>за счет средств местного</w:t>
      </w:r>
      <w:r w:rsidR="008D087C" w:rsidRPr="00C14766">
        <w:t xml:space="preserve"> бюджета</w:t>
      </w:r>
      <w:r w:rsidR="00DB4294" w:rsidRPr="00C14766">
        <w:t>;</w:t>
      </w:r>
    </w:p>
    <w:p w:rsidR="00DB4294" w:rsidRPr="00C14766" w:rsidRDefault="005720F0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- 2026 год – 4 992 603,0</w:t>
      </w:r>
      <w:r w:rsidR="00DB4294" w:rsidRPr="00C14766">
        <w:t xml:space="preserve"> руб. – за счет средств местного бюджета.</w:t>
      </w:r>
    </w:p>
    <w:p w:rsidR="005D2CCB" w:rsidRPr="00C14766" w:rsidRDefault="00426C40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210E39">
        <w:t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на реализацию мероприятий данной муниципальной программы утверждены бюджетные ассигнования в сумме</w:t>
      </w:r>
      <w:r w:rsidR="008A520B" w:rsidRPr="00C14766">
        <w:t xml:space="preserve"> </w:t>
      </w:r>
      <w:r w:rsidR="00394A1E">
        <w:t>23</w:t>
      </w:r>
      <w:r w:rsidR="00F346D3" w:rsidRPr="00C14766">
        <w:t> </w:t>
      </w:r>
      <w:r w:rsidR="00394A1E">
        <w:t>162</w:t>
      </w:r>
      <w:r w:rsidR="00F346D3" w:rsidRPr="00C14766">
        <w:t>,</w:t>
      </w:r>
      <w:r w:rsidR="00394A1E">
        <w:t>11</w:t>
      </w:r>
      <w:r w:rsidR="005D2CCB" w:rsidRPr="00C14766">
        <w:t xml:space="preserve"> тыс. руб.</w:t>
      </w:r>
      <w:r w:rsidR="00AB4374" w:rsidRPr="00C14766">
        <w:t>, из них: за счет средств бю</w:t>
      </w:r>
      <w:r w:rsidR="00F346D3" w:rsidRPr="00C14766">
        <w:t xml:space="preserve">джета Приморского края – </w:t>
      </w:r>
      <w:r w:rsidR="00394A1E">
        <w:t>3 726,90</w:t>
      </w:r>
      <w:r w:rsidR="00AB4374" w:rsidRPr="00C14766">
        <w:t xml:space="preserve"> тыс. руб.; за счет ср</w:t>
      </w:r>
      <w:r w:rsidR="00F346D3" w:rsidRPr="00C14766">
        <w:t>едств бюджета округа – 1</w:t>
      </w:r>
      <w:r w:rsidR="00394A1E">
        <w:t>9</w:t>
      </w:r>
      <w:r w:rsidR="00F346D3" w:rsidRPr="00C14766">
        <w:t> 435,2</w:t>
      </w:r>
      <w:r w:rsidR="00394A1E">
        <w:t>1</w:t>
      </w:r>
      <w:r w:rsidR="00AB4374" w:rsidRPr="00C14766">
        <w:t xml:space="preserve"> тыс. руб.</w:t>
      </w:r>
      <w:r w:rsidR="005D2CCB" w:rsidRPr="00C14766">
        <w:t xml:space="preserve">, в том числе по годам реализации: </w:t>
      </w:r>
    </w:p>
    <w:p w:rsidR="00D31351" w:rsidRPr="00C14766" w:rsidRDefault="00AB4374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- 2024</w:t>
      </w:r>
      <w:r w:rsidR="00D31351" w:rsidRPr="00C14766">
        <w:t xml:space="preserve"> год –</w:t>
      </w:r>
      <w:r w:rsidR="00394A1E">
        <w:t xml:space="preserve"> 13</w:t>
      </w:r>
      <w:r w:rsidR="00F346D3" w:rsidRPr="00C14766">
        <w:t> </w:t>
      </w:r>
      <w:r w:rsidR="00394A1E">
        <w:t>291</w:t>
      </w:r>
      <w:r w:rsidR="00F346D3" w:rsidRPr="00C14766">
        <w:t>,</w:t>
      </w:r>
      <w:r w:rsidR="00394A1E">
        <w:t>44</w:t>
      </w:r>
      <w:r w:rsidR="00B13BF5" w:rsidRPr="00C14766">
        <w:t xml:space="preserve"> тыс. руб.</w:t>
      </w:r>
      <w:r w:rsidR="00066052" w:rsidRPr="00C14766">
        <w:t>, в том числе: за счет средств бю</w:t>
      </w:r>
      <w:r w:rsidR="00F346D3" w:rsidRPr="00C14766">
        <w:t xml:space="preserve">джета Приморского края – </w:t>
      </w:r>
      <w:r w:rsidR="00394A1E">
        <w:t>3</w:t>
      </w:r>
      <w:r w:rsidR="00F346D3" w:rsidRPr="00C14766">
        <w:t> </w:t>
      </w:r>
      <w:r w:rsidR="00394A1E">
        <w:t>726</w:t>
      </w:r>
      <w:r w:rsidR="00F346D3" w:rsidRPr="00C14766">
        <w:t>,</w:t>
      </w:r>
      <w:r w:rsidR="00394A1E">
        <w:t>90</w:t>
      </w:r>
      <w:r w:rsidR="00066052" w:rsidRPr="00C14766">
        <w:t xml:space="preserve"> тыс. руб.; </w:t>
      </w:r>
      <w:r w:rsidR="00E2155E" w:rsidRPr="00C14766">
        <w:t>за счет средств местного</w:t>
      </w:r>
      <w:r w:rsidR="00D31351" w:rsidRPr="00C14766">
        <w:t xml:space="preserve"> </w:t>
      </w:r>
      <w:r w:rsidR="00B13BF5" w:rsidRPr="00C14766">
        <w:t>бюджета</w:t>
      </w:r>
      <w:r w:rsidR="00066052" w:rsidRPr="00C14766">
        <w:t xml:space="preserve"> – </w:t>
      </w:r>
      <w:r w:rsidR="00394A1E">
        <w:t>9</w:t>
      </w:r>
      <w:r w:rsidR="00066052" w:rsidRPr="00C14766">
        <w:t> 564,54 тыс. руб.</w:t>
      </w:r>
      <w:r w:rsidR="00E2155E" w:rsidRPr="00C14766">
        <w:t>;</w:t>
      </w:r>
    </w:p>
    <w:p w:rsidR="00D31351" w:rsidRPr="00C14766" w:rsidRDefault="00066052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- 2025</w:t>
      </w:r>
      <w:r w:rsidR="00D31351" w:rsidRPr="00C14766">
        <w:t xml:space="preserve"> год –</w:t>
      </w:r>
      <w:r w:rsidRPr="00C14766">
        <w:t xml:space="preserve"> 4 878,07</w:t>
      </w:r>
      <w:r w:rsidR="000F1DE3" w:rsidRPr="00C14766">
        <w:t xml:space="preserve"> тыс. руб</w:t>
      </w:r>
      <w:r w:rsidR="009D257B" w:rsidRPr="00C14766">
        <w:t xml:space="preserve">. - </w:t>
      </w:r>
      <w:r w:rsidR="00E2155E" w:rsidRPr="00C14766">
        <w:t>за счет средств местного</w:t>
      </w:r>
      <w:r w:rsidR="000F1DE3" w:rsidRPr="00C14766">
        <w:t xml:space="preserve"> бюджета;</w:t>
      </w:r>
    </w:p>
    <w:p w:rsidR="00D31351" w:rsidRPr="00C14766" w:rsidRDefault="00066052" w:rsidP="00C6508B">
      <w:pPr>
        <w:pStyle w:val="a3"/>
        <w:spacing w:before="0" w:beforeAutospacing="0" w:after="0" w:afterAutospacing="0" w:line="276" w:lineRule="auto"/>
        <w:ind w:firstLine="720"/>
        <w:jc w:val="both"/>
      </w:pPr>
      <w:r w:rsidRPr="00C14766">
        <w:t>- 2026 год – 4 992,6</w:t>
      </w:r>
      <w:r w:rsidR="000F1DE3" w:rsidRPr="00C14766">
        <w:t xml:space="preserve"> тыс. руб.</w:t>
      </w:r>
      <w:r w:rsidR="009D257B" w:rsidRPr="00C14766">
        <w:t xml:space="preserve"> - </w:t>
      </w:r>
      <w:r w:rsidR="00B47877" w:rsidRPr="00C14766">
        <w:t>за счет средств местно</w:t>
      </w:r>
      <w:r w:rsidR="000F1DE3" w:rsidRPr="00C14766">
        <w:t>го бюджета</w:t>
      </w:r>
      <w:r w:rsidR="009D257B" w:rsidRPr="00C14766">
        <w:t>.</w:t>
      </w:r>
    </w:p>
    <w:p w:rsidR="00E95C92" w:rsidRPr="00747B86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</w:pPr>
      <w:r w:rsidRPr="00C14766">
        <w:t>Таким образом, объемы финансирования</w:t>
      </w:r>
      <w:r w:rsidR="006D2289" w:rsidRPr="00C14766">
        <w:t>,</w:t>
      </w:r>
      <w:r w:rsidRPr="00C14766">
        <w:t xml:space="preserve"> предложенные проектом постановления администрации </w:t>
      </w:r>
      <w:r w:rsidR="00D563F8" w:rsidRPr="00266B1E">
        <w:t>Пожарского муниципального округа</w:t>
      </w:r>
      <w:r w:rsidR="00066052" w:rsidRPr="00266B1E">
        <w:t xml:space="preserve"> на 2024-2026</w:t>
      </w:r>
      <w:r w:rsidR="00372138" w:rsidRPr="00266B1E">
        <w:t xml:space="preserve"> год</w:t>
      </w:r>
      <w:r w:rsidR="00066052" w:rsidRPr="00266B1E">
        <w:t>ы</w:t>
      </w:r>
      <w:r w:rsidR="00FE5675" w:rsidRPr="00266B1E">
        <w:t>,</w:t>
      </w:r>
      <w:r w:rsidRPr="00266B1E">
        <w:t xml:space="preserve"> соответствуют бюджетн</w:t>
      </w:r>
      <w:r w:rsidR="00291AF0" w:rsidRPr="00266B1E">
        <w:t>ым ассигнования</w:t>
      </w:r>
      <w:r w:rsidR="00962684" w:rsidRPr="00266B1E">
        <w:t>м</w:t>
      </w:r>
      <w:r w:rsidRPr="00266B1E">
        <w:t xml:space="preserve"> на реализацию данной </w:t>
      </w:r>
      <w:r w:rsidR="00FE5675" w:rsidRPr="00266B1E">
        <w:t>муниципальной программы</w:t>
      </w:r>
      <w:r w:rsidR="00962684" w:rsidRPr="00266B1E">
        <w:t xml:space="preserve"> предусмотренным</w:t>
      </w:r>
      <w:r w:rsidR="00372138" w:rsidRPr="00266B1E">
        <w:t xml:space="preserve"> </w:t>
      </w:r>
      <w:r w:rsidR="00066052" w:rsidRPr="00266B1E">
        <w:t>проектом нормативного правового</w:t>
      </w:r>
      <w:r w:rsidR="00EC7FD0" w:rsidRPr="00266B1E">
        <w:t xml:space="preserve"> акт</w:t>
      </w:r>
      <w:r w:rsidR="00066052" w:rsidRPr="00266B1E">
        <w:t>а</w:t>
      </w:r>
      <w:r w:rsidR="00EC7FD0" w:rsidRPr="00266B1E">
        <w:t xml:space="preserve"> Думы </w:t>
      </w:r>
      <w:r w:rsidR="00D563F8" w:rsidRPr="00266B1E">
        <w:t>Пожарского муниципального округа</w:t>
      </w:r>
      <w:r w:rsidR="00066052" w:rsidRPr="00266B1E">
        <w:t xml:space="preserve"> «</w:t>
      </w:r>
      <w:r w:rsidR="00066052" w:rsidRPr="00747B86">
        <w:t xml:space="preserve">О внесении изменений в нормативный правовой акт Думы Пожарского </w:t>
      </w:r>
      <w:r w:rsidR="00066052" w:rsidRPr="00747B86">
        <w:lastRenderedPageBreak/>
        <w:t>муниципального округа от 15.12.2023 года № 186</w:t>
      </w:r>
      <w:r w:rsidR="00EC7FD0" w:rsidRPr="00747B86">
        <w:t xml:space="preserve">-НПА «О бюджете </w:t>
      </w:r>
      <w:r w:rsidR="00D563F8" w:rsidRPr="00747B86">
        <w:t>Пожарско</w:t>
      </w:r>
      <w:r w:rsidR="00066052" w:rsidRPr="00747B86">
        <w:t>го муниципального округа на 2024 год и плановый период 2025 и 2026</w:t>
      </w:r>
      <w:r w:rsidR="00EC7FD0" w:rsidRPr="00747B86">
        <w:t xml:space="preserve"> годов».</w:t>
      </w:r>
    </w:p>
    <w:p w:rsidR="00747B86" w:rsidRPr="00747B86" w:rsidRDefault="00747B86" w:rsidP="00747B86">
      <w:pPr>
        <w:pStyle w:val="a3"/>
        <w:spacing w:before="0" w:beforeAutospacing="0" w:after="0" w:afterAutospacing="0" w:line="276" w:lineRule="auto"/>
        <w:ind w:firstLine="708"/>
        <w:jc w:val="both"/>
      </w:pPr>
      <w:r w:rsidRPr="00747B86">
        <w:t xml:space="preserve">Согласно пояснительной записке предлагается внести изменения в объемы финансирования </w:t>
      </w:r>
      <w:bookmarkStart w:id="0" w:name="_GoBack"/>
      <w:r w:rsidR="009E5DBB" w:rsidRPr="00747B86">
        <w:t>на 2024 год</w:t>
      </w:r>
      <w:r w:rsidR="009E5DBB">
        <w:t xml:space="preserve"> </w:t>
      </w:r>
      <w:bookmarkEnd w:id="0"/>
      <w:r w:rsidR="00777A21">
        <w:t xml:space="preserve">(за счет средств местного бюджета) </w:t>
      </w:r>
      <w:r w:rsidRPr="00747B86">
        <w:t>следующих мероприятий: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14"/>
        <w:gridCol w:w="3025"/>
        <w:gridCol w:w="1479"/>
        <w:gridCol w:w="2079"/>
        <w:gridCol w:w="2139"/>
      </w:tblGrid>
      <w:tr w:rsidR="00136CD1" w:rsidRPr="00192360" w:rsidTr="00136CD1">
        <w:tc>
          <w:tcPr>
            <w:tcW w:w="514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92360">
              <w:rPr>
                <w:sz w:val="22"/>
                <w:szCs w:val="22"/>
              </w:rPr>
              <w:t>№ п/п</w:t>
            </w:r>
          </w:p>
        </w:tc>
        <w:tc>
          <w:tcPr>
            <w:tcW w:w="3025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79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затрат в программе, руб.</w:t>
            </w:r>
          </w:p>
        </w:tc>
        <w:tc>
          <w:tcPr>
            <w:tcW w:w="2079" w:type="dxa"/>
          </w:tcPr>
          <w:p w:rsidR="00136CD1" w:rsidRPr="00192360" w:rsidRDefault="00136CD1" w:rsidP="007E762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r w:rsidR="007E7627">
              <w:t xml:space="preserve">изменения </w:t>
            </w:r>
            <w:r w:rsidR="00473776" w:rsidRPr="00473776">
              <w:t>объема финансирования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2139" w:type="dxa"/>
          </w:tcPr>
          <w:p w:rsidR="00473776" w:rsidRDefault="00136CD1" w:rsidP="004737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затрат </w:t>
            </w:r>
            <w:r w:rsidR="00473776">
              <w:rPr>
                <w:sz w:val="22"/>
                <w:szCs w:val="22"/>
              </w:rPr>
              <w:t>согласно проекта постановления</w:t>
            </w:r>
            <w:r>
              <w:rPr>
                <w:sz w:val="22"/>
                <w:szCs w:val="22"/>
              </w:rPr>
              <w:t>,</w:t>
            </w:r>
          </w:p>
          <w:p w:rsidR="00136CD1" w:rsidRPr="00192360" w:rsidRDefault="00136CD1" w:rsidP="004737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136CD1" w:rsidRPr="00192360" w:rsidTr="00136CD1">
        <w:tc>
          <w:tcPr>
            <w:tcW w:w="514" w:type="dxa"/>
          </w:tcPr>
          <w:p w:rsidR="00136CD1" w:rsidRPr="00192360" w:rsidRDefault="00747B86" w:rsidP="00136CD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5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Устройство, ремонт объектов уличного освещения,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  <w:r w:rsidR="00747B86">
              <w:rPr>
                <w:sz w:val="22"/>
                <w:szCs w:val="22"/>
              </w:rPr>
              <w:t>:</w:t>
            </w:r>
          </w:p>
        </w:tc>
        <w:tc>
          <w:tcPr>
            <w:tcW w:w="1479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36CD1" w:rsidRPr="00192360" w:rsidTr="007E7627">
        <w:tc>
          <w:tcPr>
            <w:tcW w:w="514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025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уличного освещения с. Нагорное</w:t>
            </w:r>
          </w:p>
        </w:tc>
        <w:tc>
          <w:tcPr>
            <w:tcW w:w="1479" w:type="dxa"/>
            <w:vAlign w:val="center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64 952,88</w:t>
            </w:r>
          </w:p>
        </w:tc>
        <w:tc>
          <w:tcPr>
            <w:tcW w:w="2079" w:type="dxa"/>
            <w:vAlign w:val="center"/>
          </w:tcPr>
          <w:p w:rsidR="00136CD1" w:rsidRPr="00192360" w:rsidRDefault="00747B86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36CD1">
              <w:rPr>
                <w:sz w:val="22"/>
                <w:szCs w:val="22"/>
              </w:rPr>
              <w:t>64 952,88</w:t>
            </w:r>
          </w:p>
        </w:tc>
        <w:tc>
          <w:tcPr>
            <w:tcW w:w="2139" w:type="dxa"/>
            <w:vAlign w:val="center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6CD1" w:rsidRPr="00192360" w:rsidTr="007E7627">
        <w:tc>
          <w:tcPr>
            <w:tcW w:w="514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025" w:type="dxa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уличного освещения с. Н</w:t>
            </w:r>
            <w:r>
              <w:rPr>
                <w:sz w:val="22"/>
                <w:szCs w:val="22"/>
              </w:rPr>
              <w:t>икитовка</w:t>
            </w:r>
          </w:p>
        </w:tc>
        <w:tc>
          <w:tcPr>
            <w:tcW w:w="1479" w:type="dxa"/>
            <w:vAlign w:val="center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384 688,09</w:t>
            </w:r>
          </w:p>
        </w:tc>
        <w:tc>
          <w:tcPr>
            <w:tcW w:w="2079" w:type="dxa"/>
            <w:vAlign w:val="center"/>
          </w:tcPr>
          <w:p w:rsidR="00136CD1" w:rsidRPr="00192360" w:rsidRDefault="00747B86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36CD1">
              <w:rPr>
                <w:sz w:val="22"/>
                <w:szCs w:val="22"/>
              </w:rPr>
              <w:t>63 332,06</w:t>
            </w:r>
          </w:p>
        </w:tc>
        <w:tc>
          <w:tcPr>
            <w:tcW w:w="2139" w:type="dxa"/>
            <w:vAlign w:val="center"/>
          </w:tcPr>
          <w:p w:rsidR="00136CD1" w:rsidRPr="00192360" w:rsidRDefault="00136CD1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321 356,03</w:t>
            </w:r>
          </w:p>
        </w:tc>
      </w:tr>
      <w:tr w:rsidR="00747B86" w:rsidRPr="00192360" w:rsidTr="007E7627">
        <w:tc>
          <w:tcPr>
            <w:tcW w:w="514" w:type="dxa"/>
          </w:tcPr>
          <w:p w:rsidR="00747B86" w:rsidRDefault="00747B86" w:rsidP="00136CD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5" w:type="dxa"/>
          </w:tcPr>
          <w:p w:rsidR="00747B86" w:rsidRDefault="00747B86" w:rsidP="00136CD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Технологическое подключение объектов освещения на территории Пожарского муниципального округа</w:t>
            </w:r>
          </w:p>
        </w:tc>
        <w:tc>
          <w:tcPr>
            <w:tcW w:w="1479" w:type="dxa"/>
            <w:vAlign w:val="center"/>
          </w:tcPr>
          <w:p w:rsidR="00747B86" w:rsidRDefault="00747B86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351 041,92</w:t>
            </w:r>
          </w:p>
        </w:tc>
        <w:tc>
          <w:tcPr>
            <w:tcW w:w="2079" w:type="dxa"/>
            <w:vAlign w:val="center"/>
          </w:tcPr>
          <w:p w:rsidR="00747B86" w:rsidRDefault="00747B86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128 284,94</w:t>
            </w:r>
          </w:p>
        </w:tc>
        <w:tc>
          <w:tcPr>
            <w:tcW w:w="2139" w:type="dxa"/>
            <w:vAlign w:val="center"/>
          </w:tcPr>
          <w:p w:rsidR="00747B86" w:rsidRDefault="00747B86" w:rsidP="00136CD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479 326,86</w:t>
            </w:r>
          </w:p>
        </w:tc>
      </w:tr>
    </w:tbl>
    <w:p w:rsidR="00192360" w:rsidRPr="001A6F2E" w:rsidRDefault="00192360" w:rsidP="00266B1E">
      <w:pPr>
        <w:pStyle w:val="a3"/>
        <w:spacing w:before="0" w:beforeAutospacing="0" w:after="0" w:afterAutospacing="0" w:line="276" w:lineRule="auto"/>
        <w:ind w:firstLine="708"/>
        <w:jc w:val="both"/>
        <w:rPr>
          <w:sz w:val="6"/>
          <w:szCs w:val="6"/>
        </w:rPr>
      </w:pPr>
    </w:p>
    <w:p w:rsidR="00AB121F" w:rsidRPr="009F57EC" w:rsidRDefault="00AB121F" w:rsidP="00266B1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9F57EC">
        <w:rPr>
          <w:b/>
          <w:i/>
        </w:rPr>
        <w:t>Причины уменьшения финансирования мероприятий муниципальной программы в пояснительной записке не указаны.</w:t>
      </w:r>
    </w:p>
    <w:p w:rsidR="00266B1E" w:rsidRPr="00266B1E" w:rsidRDefault="00266B1E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 w:rsidRPr="00266B1E">
        <w:t xml:space="preserve">Средства </w:t>
      </w:r>
      <w:r w:rsidR="007E7627">
        <w:t xml:space="preserve">перераспределения </w:t>
      </w:r>
      <w:r w:rsidRPr="00266B1E">
        <w:t xml:space="preserve">предлагается </w:t>
      </w:r>
      <w:r w:rsidR="00473776">
        <w:t xml:space="preserve">направить </w:t>
      </w:r>
      <w:r w:rsidR="00473776">
        <w:t xml:space="preserve">на выполнение </w:t>
      </w:r>
      <w:r w:rsidR="00473776">
        <w:t>технологического подключения</w:t>
      </w:r>
      <w:r w:rsidR="00B60C5C">
        <w:t xml:space="preserve"> в</w:t>
      </w:r>
      <w:r w:rsidRPr="00266B1E">
        <w:t>:</w:t>
      </w:r>
    </w:p>
    <w:p w:rsidR="00266B1E" w:rsidRDefault="00266B1E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 w:rsidRPr="00266B1E">
        <w:t xml:space="preserve">- </w:t>
      </w:r>
      <w:proofErr w:type="spellStart"/>
      <w:r w:rsidR="00473776">
        <w:t>пгт</w:t>
      </w:r>
      <w:proofErr w:type="spellEnd"/>
      <w:r w:rsidR="00473776">
        <w:t xml:space="preserve"> </w:t>
      </w:r>
      <w:proofErr w:type="spellStart"/>
      <w:r w:rsidR="00473776">
        <w:t>Лучегорск</w:t>
      </w:r>
      <w:proofErr w:type="spellEnd"/>
      <w:r w:rsidR="00473776">
        <w:t xml:space="preserve">, ул. </w:t>
      </w:r>
      <w:proofErr w:type="gramStart"/>
      <w:r w:rsidR="00473776">
        <w:t xml:space="preserve">Окружная </w:t>
      </w:r>
      <w:r w:rsidRPr="00266B1E">
        <w:t xml:space="preserve"> –</w:t>
      </w:r>
      <w:proofErr w:type="gramEnd"/>
      <w:r w:rsidRPr="00266B1E">
        <w:t xml:space="preserve"> </w:t>
      </w:r>
      <w:r w:rsidR="00473776">
        <w:t>56 068,18</w:t>
      </w:r>
      <w:r w:rsidRPr="00266B1E">
        <w:t xml:space="preserve"> руб.;</w:t>
      </w:r>
    </w:p>
    <w:p w:rsidR="00B60C5C" w:rsidRDefault="00B60C5C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>
        <w:t>- с. Никитовка – 56 068,18 руб.;</w:t>
      </w:r>
    </w:p>
    <w:p w:rsidR="00B60C5C" w:rsidRPr="005F52D4" w:rsidRDefault="00B60C5C" w:rsidP="00266B1E">
      <w:pPr>
        <w:pStyle w:val="a3"/>
        <w:spacing w:before="0" w:beforeAutospacing="0" w:after="0" w:afterAutospacing="0" w:line="276" w:lineRule="auto"/>
        <w:ind w:firstLine="708"/>
        <w:jc w:val="both"/>
      </w:pPr>
      <w:r>
        <w:t>- с. Пожарское, ул. 50 лет ВЛКСМ</w:t>
      </w:r>
      <w:r w:rsidRPr="005F52D4">
        <w:t>, ул. Стрельникова, ул. Партизанская – 36 108,38 руб.</w:t>
      </w:r>
    </w:p>
    <w:p w:rsidR="0050755D" w:rsidRPr="00AB121F" w:rsidRDefault="0050755D" w:rsidP="004966FA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10"/>
          <w:szCs w:val="10"/>
        </w:rPr>
      </w:pPr>
    </w:p>
    <w:p w:rsidR="004966FA" w:rsidRDefault="005F52D4" w:rsidP="004966FA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50755D">
        <w:rPr>
          <w:b/>
          <w:i/>
        </w:rPr>
        <w:t xml:space="preserve">В качестве </w:t>
      </w:r>
      <w:r w:rsidR="0050755D" w:rsidRPr="0050755D">
        <w:rPr>
          <w:b/>
          <w:i/>
        </w:rPr>
        <w:t>ф</w:t>
      </w:r>
      <w:r w:rsidR="0050755D" w:rsidRPr="0050755D">
        <w:rPr>
          <w:b/>
          <w:i/>
        </w:rPr>
        <w:t>инансово-экономическо</w:t>
      </w:r>
      <w:r w:rsidR="0050755D" w:rsidRPr="0050755D">
        <w:rPr>
          <w:b/>
          <w:i/>
        </w:rPr>
        <w:t>го</w:t>
      </w:r>
      <w:r w:rsidR="0050755D" w:rsidRPr="0050755D">
        <w:rPr>
          <w:b/>
          <w:i/>
        </w:rPr>
        <w:t xml:space="preserve"> </w:t>
      </w:r>
      <w:r w:rsidRPr="0050755D">
        <w:rPr>
          <w:b/>
          <w:i/>
        </w:rPr>
        <w:t>обоснования</w:t>
      </w:r>
      <w:r w:rsidR="0050755D" w:rsidRPr="0050755D">
        <w:rPr>
          <w:b/>
          <w:i/>
        </w:rPr>
        <w:t xml:space="preserve"> потребности финансовых средств </w:t>
      </w:r>
      <w:r w:rsidRPr="0050755D">
        <w:rPr>
          <w:b/>
          <w:i/>
        </w:rPr>
        <w:t>разработчиком представлена</w:t>
      </w:r>
      <w:r w:rsidRPr="005F52D4">
        <w:rPr>
          <w:b/>
          <w:i/>
        </w:rPr>
        <w:t xml:space="preserve"> </w:t>
      </w:r>
      <w:r w:rsidR="00BB4DEB">
        <w:rPr>
          <w:b/>
          <w:i/>
        </w:rPr>
        <w:t>т</w:t>
      </w:r>
      <w:r w:rsidR="00AB121F">
        <w:rPr>
          <w:b/>
          <w:i/>
        </w:rPr>
        <w:t xml:space="preserve">аблица затрат на технологическое подключение объектов освещения на территории Пожарского муниципального округа за 2024 год. При этом </w:t>
      </w:r>
      <w:r w:rsidRPr="005F52D4">
        <w:rPr>
          <w:b/>
          <w:i/>
        </w:rPr>
        <w:t xml:space="preserve">расчет </w:t>
      </w:r>
      <w:r w:rsidR="0050755D">
        <w:rPr>
          <w:b/>
          <w:i/>
        </w:rPr>
        <w:t>объема расходов</w:t>
      </w:r>
      <w:r>
        <w:rPr>
          <w:b/>
          <w:i/>
        </w:rPr>
        <w:t xml:space="preserve"> на выполнение технологическ</w:t>
      </w:r>
      <w:r w:rsidR="001A6F2E">
        <w:rPr>
          <w:b/>
          <w:i/>
        </w:rPr>
        <w:t>их подключений объектов освещения в вышеуказанных населенных пунктах</w:t>
      </w:r>
      <w:r w:rsidR="00AB121F" w:rsidRPr="00AB121F">
        <w:rPr>
          <w:b/>
          <w:i/>
        </w:rPr>
        <w:t xml:space="preserve"> </w:t>
      </w:r>
      <w:r w:rsidR="00AB121F" w:rsidRPr="005F52D4">
        <w:rPr>
          <w:b/>
          <w:i/>
        </w:rPr>
        <w:t>отсутству</w:t>
      </w:r>
      <w:r w:rsidR="00AB121F">
        <w:rPr>
          <w:b/>
          <w:i/>
        </w:rPr>
        <w:t>е</w:t>
      </w:r>
      <w:r w:rsidR="00AB121F" w:rsidRPr="005F52D4">
        <w:rPr>
          <w:b/>
          <w:i/>
        </w:rPr>
        <w:t>т</w:t>
      </w:r>
      <w:r>
        <w:rPr>
          <w:b/>
          <w:i/>
        </w:rPr>
        <w:t>.</w:t>
      </w:r>
      <w:r w:rsidRPr="005F52D4">
        <w:rPr>
          <w:b/>
          <w:i/>
        </w:rPr>
        <w:t xml:space="preserve"> </w:t>
      </w:r>
    </w:p>
    <w:p w:rsidR="001A6F2E" w:rsidRPr="00AB121F" w:rsidRDefault="001A6F2E" w:rsidP="004966FA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10"/>
          <w:szCs w:val="10"/>
        </w:rPr>
      </w:pPr>
    </w:p>
    <w:p w:rsidR="003F768C" w:rsidRPr="005F52D4" w:rsidRDefault="000462D0" w:rsidP="00C6508B">
      <w:pPr>
        <w:spacing w:line="276" w:lineRule="auto"/>
        <w:ind w:firstLine="539"/>
        <w:jc w:val="both"/>
      </w:pPr>
      <w:r w:rsidRPr="005F52D4">
        <w:t>Программа разработана в соответствии с полномочиями органов местного самоупра</w:t>
      </w:r>
      <w:r w:rsidR="00EA2C5A" w:rsidRPr="005F52D4">
        <w:t>вления, закрепленными статьей 16</w:t>
      </w:r>
      <w:r w:rsidRPr="005F52D4">
        <w:t xml:space="preserve"> закона № 131 - ФЗ.</w:t>
      </w:r>
    </w:p>
    <w:p w:rsidR="00DD0DD9" w:rsidRPr="001A6F2E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16"/>
          <w:szCs w:val="16"/>
        </w:rPr>
      </w:pPr>
    </w:p>
    <w:p w:rsidR="000462D0" w:rsidRPr="005F52D4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5F52D4">
        <w:rPr>
          <w:b/>
        </w:rPr>
        <w:t>Выводы</w:t>
      </w:r>
    </w:p>
    <w:p w:rsidR="005A1929" w:rsidRPr="001A6F2E" w:rsidRDefault="000462D0" w:rsidP="001A6F2E">
      <w:pPr>
        <w:pStyle w:val="a3"/>
        <w:spacing w:before="0" w:beforeAutospacing="0" w:after="0" w:afterAutospacing="0" w:line="276" w:lineRule="auto"/>
        <w:ind w:firstLine="708"/>
        <w:jc w:val="both"/>
      </w:pPr>
      <w:r w:rsidRPr="00C14766">
        <w:t xml:space="preserve">По итогам финансово-экономической экспертизы проекта постановления, Контрольно-счетная палата пришла </w:t>
      </w:r>
      <w:r w:rsidRPr="001A6F2E">
        <w:t>к заключению, что в целом проект постановления администрации Пожарского му</w:t>
      </w:r>
      <w:r w:rsidR="00C35F74" w:rsidRPr="001A6F2E">
        <w:t>ниципального округа</w:t>
      </w:r>
      <w:r w:rsidR="00E90814" w:rsidRPr="001A6F2E">
        <w:t xml:space="preserve"> </w:t>
      </w:r>
      <w:r w:rsidR="002403FD" w:rsidRPr="001A6F2E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</w:t>
      </w:r>
      <w:r w:rsidR="00066ED1" w:rsidRPr="001A6F2E">
        <w:t>ниципального округа на 2023-2026</w:t>
      </w:r>
      <w:r w:rsidR="002403FD" w:rsidRPr="001A6F2E">
        <w:t xml:space="preserve"> годы» </w:t>
      </w:r>
      <w:r w:rsidR="003F768C" w:rsidRPr="001A6F2E">
        <w:t>не противоречит действующему законодательству</w:t>
      </w:r>
      <w:r w:rsidRPr="001A6F2E">
        <w:t>.</w:t>
      </w:r>
    </w:p>
    <w:p w:rsidR="001A6F2E" w:rsidRPr="001A6F2E" w:rsidRDefault="001A6F2E" w:rsidP="001A6F2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1A6F2E">
        <w:rPr>
          <w:b/>
          <w:i/>
        </w:rPr>
        <w:t>Одновременно, при утверждении муниципальной программы предлагаю учесть замечания, отраженные в настоящем заключении.</w:t>
      </w:r>
    </w:p>
    <w:p w:rsidR="001A6F2E" w:rsidRPr="00C14766" w:rsidRDefault="001A6F2E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822DEF" w:rsidRPr="00C14766" w:rsidRDefault="00477163" w:rsidP="007A189D">
      <w:r>
        <w:t>Главный инспектор</w:t>
      </w:r>
      <w:r w:rsidR="00EC1A65" w:rsidRPr="00C14766">
        <w:t xml:space="preserve"> </w:t>
      </w:r>
      <w:proofErr w:type="spellStart"/>
      <w:r w:rsidR="00EC1A65" w:rsidRPr="00C14766">
        <w:t>К</w:t>
      </w:r>
      <w:r w:rsidR="00822DEF" w:rsidRPr="00C14766">
        <w:t>онтрольно</w:t>
      </w:r>
      <w:proofErr w:type="spellEnd"/>
      <w:r w:rsidR="00822DEF" w:rsidRPr="00C14766">
        <w:t xml:space="preserve"> – счетной </w:t>
      </w:r>
    </w:p>
    <w:p w:rsidR="001A6F2E" w:rsidRDefault="00822DEF" w:rsidP="007A189D">
      <w:r w:rsidRPr="00C14766">
        <w:t xml:space="preserve">палаты </w:t>
      </w:r>
      <w:r w:rsidR="00F84E00" w:rsidRPr="00C14766">
        <w:t>Пожарского муниципального округа</w:t>
      </w:r>
      <w:r w:rsidR="009A48C4" w:rsidRPr="00C14766">
        <w:t xml:space="preserve"> </w:t>
      </w:r>
      <w:r w:rsidR="009A48C4" w:rsidRPr="00C14766">
        <w:tab/>
      </w:r>
      <w:r w:rsidR="009A48C4" w:rsidRPr="00C14766">
        <w:tab/>
      </w:r>
      <w:r w:rsidR="004F4BCE" w:rsidRPr="00C14766">
        <w:t xml:space="preserve">                  </w:t>
      </w:r>
      <w:r w:rsidR="00C6508B" w:rsidRPr="00C14766">
        <w:t xml:space="preserve">    </w:t>
      </w:r>
      <w:r w:rsidR="00C14766">
        <w:t xml:space="preserve">         </w:t>
      </w:r>
      <w:r w:rsidRPr="00C14766">
        <w:t xml:space="preserve"> </w:t>
      </w:r>
      <w:r w:rsidR="00477163">
        <w:t xml:space="preserve">          </w:t>
      </w:r>
      <w:r w:rsidRPr="00C14766">
        <w:t xml:space="preserve"> </w:t>
      </w:r>
      <w:r w:rsidR="00477163">
        <w:t>С.С. Фомина</w:t>
      </w:r>
    </w:p>
    <w:p w:rsidR="001A6F2E" w:rsidRDefault="001A6F2E" w:rsidP="007A189D">
      <w:pPr>
        <w:rPr>
          <w:sz w:val="18"/>
          <w:szCs w:val="18"/>
        </w:rPr>
      </w:pPr>
    </w:p>
    <w:p w:rsidR="001A6F2E" w:rsidRDefault="001A6F2E" w:rsidP="007A189D">
      <w:pPr>
        <w:rPr>
          <w:sz w:val="18"/>
          <w:szCs w:val="18"/>
        </w:rPr>
      </w:pPr>
    </w:p>
    <w:p w:rsidR="00477163" w:rsidRPr="00477163" w:rsidRDefault="00477163" w:rsidP="007A189D">
      <w:pPr>
        <w:rPr>
          <w:sz w:val="18"/>
          <w:szCs w:val="18"/>
        </w:rPr>
      </w:pPr>
      <w:r w:rsidRPr="00477163">
        <w:rPr>
          <w:sz w:val="18"/>
          <w:szCs w:val="18"/>
        </w:rPr>
        <w:t>тел.: 8(42357)33062</w:t>
      </w:r>
    </w:p>
    <w:sectPr w:rsidR="00477163" w:rsidRPr="00477163" w:rsidSect="001A6F2E">
      <w:headerReference w:type="even" r:id="rId8"/>
      <w:headerReference w:type="default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7A" w:rsidRDefault="009E257A">
      <w:r>
        <w:separator/>
      </w:r>
    </w:p>
  </w:endnote>
  <w:endnote w:type="continuationSeparator" w:id="0">
    <w:p w:rsidR="009E257A" w:rsidRDefault="009E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7A" w:rsidRDefault="009E257A">
      <w:r>
        <w:separator/>
      </w:r>
    </w:p>
  </w:footnote>
  <w:footnote w:type="continuationSeparator" w:id="0">
    <w:p w:rsidR="009E257A" w:rsidRDefault="009E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5DBB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53"/>
    <w:rsid w:val="00001261"/>
    <w:rsid w:val="0000280B"/>
    <w:rsid w:val="000077C9"/>
    <w:rsid w:val="00007800"/>
    <w:rsid w:val="00007A9C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0E1C"/>
    <w:rsid w:val="00041044"/>
    <w:rsid w:val="00041753"/>
    <w:rsid w:val="000462D0"/>
    <w:rsid w:val="00053005"/>
    <w:rsid w:val="00054EF4"/>
    <w:rsid w:val="000601F0"/>
    <w:rsid w:val="00061725"/>
    <w:rsid w:val="00063537"/>
    <w:rsid w:val="00066052"/>
    <w:rsid w:val="000665C1"/>
    <w:rsid w:val="00066ED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A46F6"/>
    <w:rsid w:val="000B1B7B"/>
    <w:rsid w:val="000B2907"/>
    <w:rsid w:val="000B2C1E"/>
    <w:rsid w:val="000B3CF8"/>
    <w:rsid w:val="000B3DCE"/>
    <w:rsid w:val="000B3F7A"/>
    <w:rsid w:val="000B4759"/>
    <w:rsid w:val="000B498E"/>
    <w:rsid w:val="000B7D8D"/>
    <w:rsid w:val="000D0237"/>
    <w:rsid w:val="000D0B98"/>
    <w:rsid w:val="000D2C53"/>
    <w:rsid w:val="000D4C36"/>
    <w:rsid w:val="000D6069"/>
    <w:rsid w:val="000D687D"/>
    <w:rsid w:val="000E01FB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3802"/>
    <w:rsid w:val="000F73BF"/>
    <w:rsid w:val="00102ED5"/>
    <w:rsid w:val="0010462F"/>
    <w:rsid w:val="001048AC"/>
    <w:rsid w:val="001058AD"/>
    <w:rsid w:val="001071D5"/>
    <w:rsid w:val="001109BF"/>
    <w:rsid w:val="00113481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31BB"/>
    <w:rsid w:val="00134C2E"/>
    <w:rsid w:val="0013563A"/>
    <w:rsid w:val="00136349"/>
    <w:rsid w:val="00136CD1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F37"/>
    <w:rsid w:val="00192360"/>
    <w:rsid w:val="0019347E"/>
    <w:rsid w:val="00196C62"/>
    <w:rsid w:val="00197A28"/>
    <w:rsid w:val="001A6F2E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58CB"/>
    <w:rsid w:val="001E6B01"/>
    <w:rsid w:val="001F1A3A"/>
    <w:rsid w:val="001F1D96"/>
    <w:rsid w:val="001F24D2"/>
    <w:rsid w:val="001F337A"/>
    <w:rsid w:val="001F4261"/>
    <w:rsid w:val="001F4BCA"/>
    <w:rsid w:val="001F6CAD"/>
    <w:rsid w:val="001F7BEE"/>
    <w:rsid w:val="0020270E"/>
    <w:rsid w:val="002034CE"/>
    <w:rsid w:val="00204BE3"/>
    <w:rsid w:val="002055B2"/>
    <w:rsid w:val="00206E73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3FD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66B1E"/>
    <w:rsid w:val="002706D8"/>
    <w:rsid w:val="00274244"/>
    <w:rsid w:val="0027589B"/>
    <w:rsid w:val="00280734"/>
    <w:rsid w:val="00282E9C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152"/>
    <w:rsid w:val="002E0F85"/>
    <w:rsid w:val="002E1862"/>
    <w:rsid w:val="002E4FF1"/>
    <w:rsid w:val="002F0BDC"/>
    <w:rsid w:val="002F348D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2FAA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94A1E"/>
    <w:rsid w:val="003A5921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39D1"/>
    <w:rsid w:val="003E66CE"/>
    <w:rsid w:val="003E672B"/>
    <w:rsid w:val="003E690C"/>
    <w:rsid w:val="003E6CCD"/>
    <w:rsid w:val="003F0612"/>
    <w:rsid w:val="003F1AD8"/>
    <w:rsid w:val="003F1EF0"/>
    <w:rsid w:val="003F3568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26C4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3CE2"/>
    <w:rsid w:val="004544E3"/>
    <w:rsid w:val="00454BC8"/>
    <w:rsid w:val="00454DED"/>
    <w:rsid w:val="00457B21"/>
    <w:rsid w:val="00457BCE"/>
    <w:rsid w:val="00457F49"/>
    <w:rsid w:val="004650C3"/>
    <w:rsid w:val="00472E7D"/>
    <w:rsid w:val="00473776"/>
    <w:rsid w:val="00476E34"/>
    <w:rsid w:val="00477163"/>
    <w:rsid w:val="00477C6F"/>
    <w:rsid w:val="0048214A"/>
    <w:rsid w:val="004828EF"/>
    <w:rsid w:val="00485828"/>
    <w:rsid w:val="00493866"/>
    <w:rsid w:val="00493F58"/>
    <w:rsid w:val="004966FA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4F7975"/>
    <w:rsid w:val="00501096"/>
    <w:rsid w:val="005016C2"/>
    <w:rsid w:val="005033E2"/>
    <w:rsid w:val="0050597E"/>
    <w:rsid w:val="005072D8"/>
    <w:rsid w:val="0050755D"/>
    <w:rsid w:val="00513949"/>
    <w:rsid w:val="0051408A"/>
    <w:rsid w:val="00517B19"/>
    <w:rsid w:val="00517E6F"/>
    <w:rsid w:val="0052389E"/>
    <w:rsid w:val="00526FDD"/>
    <w:rsid w:val="005313F1"/>
    <w:rsid w:val="005315B3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933"/>
    <w:rsid w:val="005572ED"/>
    <w:rsid w:val="0056144D"/>
    <w:rsid w:val="00561EF0"/>
    <w:rsid w:val="005625A8"/>
    <w:rsid w:val="00562AD7"/>
    <w:rsid w:val="005703C5"/>
    <w:rsid w:val="0057124B"/>
    <w:rsid w:val="005720F0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5F52D4"/>
    <w:rsid w:val="006014A0"/>
    <w:rsid w:val="00601E98"/>
    <w:rsid w:val="00603F10"/>
    <w:rsid w:val="0060570F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4570C"/>
    <w:rsid w:val="00652297"/>
    <w:rsid w:val="00661DCA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4D8D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50F1"/>
    <w:rsid w:val="0074755E"/>
    <w:rsid w:val="00747B86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0E3B"/>
    <w:rsid w:val="0077217C"/>
    <w:rsid w:val="00772913"/>
    <w:rsid w:val="00773241"/>
    <w:rsid w:val="00774E96"/>
    <w:rsid w:val="00776608"/>
    <w:rsid w:val="00777A21"/>
    <w:rsid w:val="007825FB"/>
    <w:rsid w:val="007828E0"/>
    <w:rsid w:val="00782F4B"/>
    <w:rsid w:val="007839A9"/>
    <w:rsid w:val="007873C6"/>
    <w:rsid w:val="00790271"/>
    <w:rsid w:val="00792A2B"/>
    <w:rsid w:val="00793227"/>
    <w:rsid w:val="00795A39"/>
    <w:rsid w:val="007A0956"/>
    <w:rsid w:val="007A189D"/>
    <w:rsid w:val="007A56C4"/>
    <w:rsid w:val="007A5B27"/>
    <w:rsid w:val="007A5FA9"/>
    <w:rsid w:val="007A6EAD"/>
    <w:rsid w:val="007B2982"/>
    <w:rsid w:val="007B478C"/>
    <w:rsid w:val="007B4A54"/>
    <w:rsid w:val="007B7F7E"/>
    <w:rsid w:val="007C0F26"/>
    <w:rsid w:val="007C49CA"/>
    <w:rsid w:val="007C5A65"/>
    <w:rsid w:val="007D158F"/>
    <w:rsid w:val="007D4718"/>
    <w:rsid w:val="007D5795"/>
    <w:rsid w:val="007E308D"/>
    <w:rsid w:val="007E36A0"/>
    <w:rsid w:val="007E7627"/>
    <w:rsid w:val="007F41EC"/>
    <w:rsid w:val="00804731"/>
    <w:rsid w:val="00806592"/>
    <w:rsid w:val="008117D1"/>
    <w:rsid w:val="00815FC8"/>
    <w:rsid w:val="00817942"/>
    <w:rsid w:val="00820BD7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E5F"/>
    <w:rsid w:val="00891FBB"/>
    <w:rsid w:val="00893981"/>
    <w:rsid w:val="00895781"/>
    <w:rsid w:val="0089630C"/>
    <w:rsid w:val="008A1BF3"/>
    <w:rsid w:val="008A1C17"/>
    <w:rsid w:val="008A1E65"/>
    <w:rsid w:val="008A365D"/>
    <w:rsid w:val="008A520B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13A"/>
    <w:rsid w:val="00925A72"/>
    <w:rsid w:val="0092636E"/>
    <w:rsid w:val="009271EF"/>
    <w:rsid w:val="0092748D"/>
    <w:rsid w:val="00927914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4632D"/>
    <w:rsid w:val="009570FF"/>
    <w:rsid w:val="0095776D"/>
    <w:rsid w:val="00957913"/>
    <w:rsid w:val="00960741"/>
    <w:rsid w:val="00962684"/>
    <w:rsid w:val="0096326C"/>
    <w:rsid w:val="0097030F"/>
    <w:rsid w:val="009713B2"/>
    <w:rsid w:val="00973B59"/>
    <w:rsid w:val="009750A7"/>
    <w:rsid w:val="0097633B"/>
    <w:rsid w:val="00980A75"/>
    <w:rsid w:val="009858B4"/>
    <w:rsid w:val="009868FD"/>
    <w:rsid w:val="00987FE7"/>
    <w:rsid w:val="0099011E"/>
    <w:rsid w:val="00993364"/>
    <w:rsid w:val="00993F3B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257A"/>
    <w:rsid w:val="009E5B41"/>
    <w:rsid w:val="009E5DBB"/>
    <w:rsid w:val="009E6F00"/>
    <w:rsid w:val="009F3924"/>
    <w:rsid w:val="009F3E61"/>
    <w:rsid w:val="009F42A1"/>
    <w:rsid w:val="009F57EC"/>
    <w:rsid w:val="009F6BF2"/>
    <w:rsid w:val="00A125E7"/>
    <w:rsid w:val="00A12B38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37C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97D13"/>
    <w:rsid w:val="00AA1503"/>
    <w:rsid w:val="00AA1C46"/>
    <w:rsid w:val="00AA2E47"/>
    <w:rsid w:val="00AA2F75"/>
    <w:rsid w:val="00AA55AA"/>
    <w:rsid w:val="00AA60F4"/>
    <w:rsid w:val="00AA6C23"/>
    <w:rsid w:val="00AA6E84"/>
    <w:rsid w:val="00AB009E"/>
    <w:rsid w:val="00AB121F"/>
    <w:rsid w:val="00AB2D28"/>
    <w:rsid w:val="00AB4374"/>
    <w:rsid w:val="00AB4899"/>
    <w:rsid w:val="00AB5CB6"/>
    <w:rsid w:val="00AB791E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366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0C5C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1230"/>
    <w:rsid w:val="00B836F3"/>
    <w:rsid w:val="00B8681B"/>
    <w:rsid w:val="00B933BA"/>
    <w:rsid w:val="00B94A54"/>
    <w:rsid w:val="00B9711C"/>
    <w:rsid w:val="00B97F6B"/>
    <w:rsid w:val="00BA0C52"/>
    <w:rsid w:val="00BA152F"/>
    <w:rsid w:val="00BA2135"/>
    <w:rsid w:val="00BA4A80"/>
    <w:rsid w:val="00BB229D"/>
    <w:rsid w:val="00BB4DEB"/>
    <w:rsid w:val="00BC0D28"/>
    <w:rsid w:val="00BC1153"/>
    <w:rsid w:val="00BC3D00"/>
    <w:rsid w:val="00BC4BC8"/>
    <w:rsid w:val="00BC4F8D"/>
    <w:rsid w:val="00BC527C"/>
    <w:rsid w:val="00BC5EF7"/>
    <w:rsid w:val="00BC6FFB"/>
    <w:rsid w:val="00BC76E9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0BD2"/>
    <w:rsid w:val="00C03721"/>
    <w:rsid w:val="00C03A4E"/>
    <w:rsid w:val="00C07A48"/>
    <w:rsid w:val="00C11F15"/>
    <w:rsid w:val="00C14766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1B94"/>
    <w:rsid w:val="00C44C8D"/>
    <w:rsid w:val="00C4540C"/>
    <w:rsid w:val="00C45F42"/>
    <w:rsid w:val="00C465DC"/>
    <w:rsid w:val="00C51334"/>
    <w:rsid w:val="00C51BBB"/>
    <w:rsid w:val="00C51D82"/>
    <w:rsid w:val="00C525E4"/>
    <w:rsid w:val="00C53616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75A74"/>
    <w:rsid w:val="00C84CC6"/>
    <w:rsid w:val="00C92676"/>
    <w:rsid w:val="00C93628"/>
    <w:rsid w:val="00C94122"/>
    <w:rsid w:val="00C94963"/>
    <w:rsid w:val="00C96983"/>
    <w:rsid w:val="00CA045E"/>
    <w:rsid w:val="00CA079F"/>
    <w:rsid w:val="00CA0F8A"/>
    <w:rsid w:val="00CA27DB"/>
    <w:rsid w:val="00CA3666"/>
    <w:rsid w:val="00CA3D83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3521"/>
    <w:rsid w:val="00CD4CF6"/>
    <w:rsid w:val="00CD52B6"/>
    <w:rsid w:val="00CD5808"/>
    <w:rsid w:val="00CD6026"/>
    <w:rsid w:val="00CD631C"/>
    <w:rsid w:val="00CD6D30"/>
    <w:rsid w:val="00CE4EDE"/>
    <w:rsid w:val="00CE5D85"/>
    <w:rsid w:val="00CE5DD9"/>
    <w:rsid w:val="00CF22D8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306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4897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2CED"/>
    <w:rsid w:val="00DC328F"/>
    <w:rsid w:val="00DC6B01"/>
    <w:rsid w:val="00DC7C18"/>
    <w:rsid w:val="00DD0326"/>
    <w:rsid w:val="00DD0DD9"/>
    <w:rsid w:val="00DD1515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52C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86875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0747"/>
    <w:rsid w:val="00EE44DF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346D3"/>
    <w:rsid w:val="00F40CEF"/>
    <w:rsid w:val="00F4490D"/>
    <w:rsid w:val="00F449CD"/>
    <w:rsid w:val="00F476D3"/>
    <w:rsid w:val="00F55CAA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1B6F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1934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6A2E-3A80-4B93-A630-B3C85902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16</cp:revision>
  <cp:lastPrinted>2024-10-07T01:39:00Z</cp:lastPrinted>
  <dcterms:created xsi:type="dcterms:W3CDTF">2024-10-04T04:30:00Z</dcterms:created>
  <dcterms:modified xsi:type="dcterms:W3CDTF">2024-10-07T01:47:00Z</dcterms:modified>
</cp:coreProperties>
</file>