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B53A7C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07 октября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1D5830">
        <w:rPr>
          <w:sz w:val="26"/>
          <w:szCs w:val="26"/>
        </w:rPr>
        <w:t xml:space="preserve"> год</w:t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  <w:t xml:space="preserve">        </w:t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7D4CCD">
        <w:rPr>
          <w:sz w:val="26"/>
          <w:szCs w:val="26"/>
        </w:rPr>
        <w:t xml:space="preserve">       </w:t>
      </w:r>
      <w:r>
        <w:rPr>
          <w:sz w:val="26"/>
          <w:szCs w:val="26"/>
        </w:rPr>
        <w:t>№ 89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7D4CCD" w:rsidRDefault="00890B7C" w:rsidP="007D4CCD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ru-RU" w:eastAsia="ru-RU"/>
              </w:rPr>
            </w:pPr>
            <w:r w:rsidRPr="007D4CCD">
              <w:rPr>
                <w:sz w:val="26"/>
                <w:szCs w:val="26"/>
                <w:lang w:val="ru-RU" w:eastAsia="ru-RU"/>
              </w:rPr>
              <w:t xml:space="preserve">По результатам экспертизы проекта постановления администрации </w:t>
            </w:r>
            <w:r w:rsidR="00146265" w:rsidRPr="007D4CCD">
              <w:rPr>
                <w:sz w:val="26"/>
                <w:szCs w:val="26"/>
                <w:lang w:val="ru-RU" w:eastAsia="ru-RU"/>
              </w:rPr>
              <w:t>Пожарского муниципального округа</w:t>
            </w:r>
            <w:r w:rsidR="00F14E48" w:rsidRPr="007D4CCD">
              <w:rPr>
                <w:sz w:val="26"/>
                <w:szCs w:val="26"/>
                <w:lang w:val="ru-RU" w:eastAsia="ru-RU"/>
              </w:rPr>
              <w:t xml:space="preserve"> «О внесении изменений в постановление администрации 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Пожарского муниципального района от 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30</w:t>
            </w:r>
            <w:r w:rsidR="00B06CD4" w:rsidRPr="007D4CCD">
              <w:rPr>
                <w:sz w:val="26"/>
                <w:szCs w:val="26"/>
                <w:lang w:val="ru-RU" w:eastAsia="ru-RU"/>
              </w:rPr>
              <w:t>.12.2022г. № 107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</w:t>
            </w:r>
            <w:r w:rsidR="00F14E48" w:rsidRPr="007D4CCD">
              <w:rPr>
                <w:sz w:val="26"/>
                <w:szCs w:val="26"/>
                <w:lang w:val="ru-RU" w:eastAsia="ru-RU"/>
              </w:rPr>
              <w:t>-па</w:t>
            </w:r>
            <w:r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«Об утверждении</w:t>
            </w:r>
            <w:r w:rsidR="00BA152F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муниципальной</w:t>
            </w:r>
            <w:r w:rsidR="009143D8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программы</w:t>
            </w:r>
            <w:r w:rsidR="00D943B9" w:rsidRPr="007D4CCD">
              <w:rPr>
                <w:sz w:val="26"/>
                <w:szCs w:val="26"/>
                <w:lang w:val="ru-RU" w:eastAsia="ru-RU"/>
              </w:rPr>
              <w:t xml:space="preserve"> «</w:t>
            </w:r>
            <w:r w:rsidR="007D4CCD" w:rsidRPr="007D4CCD">
              <w:rPr>
                <w:sz w:val="26"/>
                <w:szCs w:val="26"/>
                <w:lang w:val="ru-RU" w:eastAsia="ru-RU"/>
              </w:rPr>
              <w:t>Содержание объектов озеленения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Пожарского муниципального округа</w:t>
            </w:r>
            <w:r w:rsidR="007D4CCD" w:rsidRPr="007D4CCD">
              <w:rPr>
                <w:sz w:val="26"/>
                <w:szCs w:val="26"/>
                <w:lang w:val="ru-RU" w:eastAsia="ru-RU"/>
              </w:rPr>
              <w:t>»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D4CCD" w:rsidRPr="007D4CCD">
              <w:rPr>
                <w:sz w:val="26"/>
                <w:szCs w:val="26"/>
                <w:lang w:val="ru-RU" w:eastAsia="ru-RU"/>
              </w:rPr>
              <w:t xml:space="preserve">на </w:t>
            </w:r>
            <w:r w:rsidR="00F7000F">
              <w:rPr>
                <w:sz w:val="26"/>
                <w:szCs w:val="26"/>
                <w:lang w:val="ru-RU" w:eastAsia="ru-RU"/>
              </w:rPr>
              <w:t>2023-2026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17C0A" w:rsidRPr="00C15A27" w:rsidRDefault="00617C0A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672ED9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B74F13" w:rsidRPr="00C6508B">
        <w:rPr>
          <w:sz w:val="26"/>
          <w:szCs w:val="26"/>
        </w:rPr>
        <w:t>«</w:t>
      </w:r>
      <w:r w:rsidR="001D14D8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F7000F">
        <w:rPr>
          <w:sz w:val="26"/>
          <w:szCs w:val="26"/>
          <w:lang w:val="ru-RU" w:eastAsia="ru-RU"/>
        </w:rPr>
        <w:t>иципального округа» на 2023-2026</w:t>
      </w:r>
      <w:r w:rsidR="001D14D8" w:rsidRPr="007D4CCD">
        <w:rPr>
          <w:sz w:val="26"/>
          <w:szCs w:val="26"/>
          <w:lang w:val="ru-RU" w:eastAsia="ru-RU"/>
        </w:rPr>
        <w:t xml:space="preserve"> годы</w:t>
      </w:r>
      <w:r w:rsidR="00B74F13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Pr="00C6508B">
        <w:rPr>
          <w:sz w:val="26"/>
          <w:szCs w:val="26"/>
        </w:rPr>
        <w:t xml:space="preserve"> в связи с подготовкой нормативного правового акта Думы По</w:t>
      </w:r>
      <w:r w:rsidR="00F14E48" w:rsidRPr="00C6508B">
        <w:rPr>
          <w:sz w:val="26"/>
          <w:szCs w:val="26"/>
        </w:rPr>
        <w:t>жарского муниципального округа</w:t>
      </w:r>
      <w:r w:rsidR="00C07A48" w:rsidRPr="00C6508B">
        <w:rPr>
          <w:sz w:val="26"/>
          <w:szCs w:val="26"/>
        </w:rPr>
        <w:t xml:space="preserve"> «О бюджете Пожарско</w:t>
      </w:r>
      <w:r w:rsidR="00F7000F">
        <w:rPr>
          <w:sz w:val="26"/>
          <w:szCs w:val="26"/>
        </w:rPr>
        <w:t>го муниципального округа на 2025 год и плановый период 2026 и 2027</w:t>
      </w:r>
      <w:r w:rsidR="00C07A48" w:rsidRPr="00C6508B">
        <w:rPr>
          <w:sz w:val="26"/>
          <w:szCs w:val="26"/>
        </w:rPr>
        <w:t xml:space="preserve"> годов»</w:t>
      </w:r>
      <w:r w:rsidR="00F14E48" w:rsidRPr="00C6508B">
        <w:rPr>
          <w:sz w:val="26"/>
          <w:szCs w:val="26"/>
        </w:rPr>
        <w:t>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9D175C" w:rsidRDefault="009D175C" w:rsidP="00FC6CC4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Заказчиком программы согласно паспорту</w:t>
      </w:r>
      <w:r w:rsidR="005625A8">
        <w:rPr>
          <w:sz w:val="26"/>
          <w:szCs w:val="26"/>
        </w:rPr>
        <w:t>,</w:t>
      </w:r>
      <w:r>
        <w:rPr>
          <w:sz w:val="26"/>
          <w:szCs w:val="26"/>
        </w:rPr>
        <w:t xml:space="preserve"> является администрация Пожарского муниципального района.</w:t>
      </w:r>
    </w:p>
    <w:p w:rsidR="00F7000F" w:rsidRDefault="00F7000F" w:rsidP="00F7000F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исполнителем программных мероприятий определен отдел жизнеобеспечения, дорожного хозяйства и транспортных услуг администрации Пожарского муниципального округа.</w:t>
      </w:r>
    </w:p>
    <w:p w:rsidR="00F7000F" w:rsidRDefault="00F7000F" w:rsidP="00F7000F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Соисполнителем является отдел закупок администрации Пожарского муниципального округа.</w:t>
      </w:r>
    </w:p>
    <w:p w:rsidR="001F7BEE" w:rsidRPr="00222073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22073">
        <w:rPr>
          <w:sz w:val="26"/>
          <w:szCs w:val="26"/>
        </w:rPr>
        <w:t>Срок реа</w:t>
      </w:r>
      <w:r w:rsidR="00D23480" w:rsidRPr="00222073">
        <w:rPr>
          <w:sz w:val="26"/>
          <w:szCs w:val="26"/>
        </w:rPr>
        <w:t>лизации</w:t>
      </w:r>
      <w:r w:rsidR="00AC26E4" w:rsidRPr="00222073">
        <w:rPr>
          <w:sz w:val="26"/>
          <w:szCs w:val="26"/>
        </w:rPr>
        <w:t xml:space="preserve"> Программы определен</w:t>
      </w:r>
      <w:r w:rsidR="00BA0100" w:rsidRPr="00222073">
        <w:rPr>
          <w:sz w:val="26"/>
          <w:szCs w:val="26"/>
        </w:rPr>
        <w:t xml:space="preserve"> 2023</w:t>
      </w:r>
      <w:r w:rsidR="00F7000F">
        <w:rPr>
          <w:sz w:val="26"/>
          <w:szCs w:val="26"/>
        </w:rPr>
        <w:t xml:space="preserve"> – 2027</w:t>
      </w:r>
      <w:r w:rsidRPr="00222073">
        <w:rPr>
          <w:sz w:val="26"/>
          <w:szCs w:val="26"/>
        </w:rPr>
        <w:t xml:space="preserve"> годы.</w:t>
      </w:r>
    </w:p>
    <w:p w:rsidR="00222073" w:rsidRPr="00222073" w:rsidRDefault="002C6797" w:rsidP="0022207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2550F5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2550F5">
        <w:rPr>
          <w:sz w:val="26"/>
          <w:szCs w:val="26"/>
          <w:lang w:val="ru-RU"/>
        </w:rPr>
        <w:t>11 357 766,76</w:t>
      </w:r>
      <w:r w:rsidR="002550F5">
        <w:rPr>
          <w:sz w:val="26"/>
          <w:szCs w:val="26"/>
        </w:rPr>
        <w:t xml:space="preserve"> руб.</w:t>
      </w:r>
      <w:r w:rsidR="002550F5">
        <w:rPr>
          <w:sz w:val="26"/>
          <w:szCs w:val="26"/>
          <w:lang w:val="ru-RU"/>
        </w:rPr>
        <w:t xml:space="preserve">, в том числе: за счет средств бюджета Приморского края – 178 086,22 руб., за счет средств местного бюджета – 11 179 680,54 руб. 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="00EB0C75">
        <w:rPr>
          <w:sz w:val="26"/>
          <w:szCs w:val="26"/>
          <w:lang w:val="ru-RU"/>
        </w:rPr>
        <w:t>,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C11F15">
        <w:rPr>
          <w:sz w:val="26"/>
          <w:szCs w:val="26"/>
        </w:rPr>
        <w:t>1</w:t>
      </w:r>
      <w:r w:rsidR="00283401">
        <w:rPr>
          <w:sz w:val="26"/>
          <w:szCs w:val="26"/>
        </w:rPr>
        <w:t> </w:t>
      </w:r>
      <w:r w:rsidR="00283401">
        <w:rPr>
          <w:sz w:val="26"/>
          <w:szCs w:val="26"/>
          <w:lang w:val="ru-RU"/>
        </w:rPr>
        <w:t>983 722,0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C11F15">
        <w:rPr>
          <w:sz w:val="26"/>
          <w:szCs w:val="26"/>
        </w:rPr>
        <w:t xml:space="preserve"> </w:t>
      </w:r>
      <w:r w:rsidR="00283401">
        <w:rPr>
          <w:sz w:val="26"/>
          <w:szCs w:val="26"/>
          <w:lang w:val="ru-RU"/>
        </w:rPr>
        <w:t xml:space="preserve">2 343 641,76 </w:t>
      </w:r>
      <w:r w:rsidR="008D087C" w:rsidRPr="00C6508B">
        <w:rPr>
          <w:sz w:val="26"/>
          <w:szCs w:val="26"/>
        </w:rPr>
        <w:t>руб.</w:t>
      </w:r>
      <w:r w:rsidR="00283401">
        <w:rPr>
          <w:sz w:val="26"/>
          <w:szCs w:val="26"/>
          <w:lang w:val="ru-RU"/>
        </w:rPr>
        <w:t>, в том числе: за счет средств бюджета Приморского края – 178 086,22 руб., за счет средств местного бюджета – 2 165 555,54 руб.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C11F15">
        <w:rPr>
          <w:sz w:val="26"/>
          <w:szCs w:val="26"/>
        </w:rPr>
        <w:t xml:space="preserve"> год – </w:t>
      </w:r>
      <w:r w:rsidR="00283401">
        <w:rPr>
          <w:sz w:val="26"/>
          <w:szCs w:val="26"/>
          <w:lang w:val="ru-RU"/>
        </w:rPr>
        <w:t xml:space="preserve">2 252 179,0 </w:t>
      </w:r>
      <w:r w:rsidR="008D31F5" w:rsidRPr="00C6508B">
        <w:rPr>
          <w:sz w:val="26"/>
          <w:szCs w:val="26"/>
        </w:rPr>
        <w:t>руб.</w:t>
      </w:r>
      <w:r w:rsidR="00DB4294" w:rsidRPr="00C6508B">
        <w:rPr>
          <w:sz w:val="26"/>
          <w:szCs w:val="26"/>
        </w:rPr>
        <w:t>;</w:t>
      </w:r>
    </w:p>
    <w:p w:rsidR="00DB4294" w:rsidRDefault="00C11F1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- 2026 год – </w:t>
      </w:r>
      <w:r w:rsidR="00283401">
        <w:rPr>
          <w:sz w:val="26"/>
          <w:szCs w:val="26"/>
          <w:lang w:val="ru-RU"/>
        </w:rPr>
        <w:t>2 342 267,0</w:t>
      </w:r>
      <w:r w:rsidR="00DB4294" w:rsidRPr="00C6508B">
        <w:rPr>
          <w:sz w:val="26"/>
          <w:szCs w:val="26"/>
        </w:rPr>
        <w:t xml:space="preserve"> руб.</w:t>
      </w:r>
      <w:r w:rsidR="00283401">
        <w:rPr>
          <w:sz w:val="26"/>
          <w:szCs w:val="26"/>
          <w:lang w:val="ru-RU"/>
        </w:rPr>
        <w:t>;</w:t>
      </w:r>
    </w:p>
    <w:p w:rsidR="00283401" w:rsidRPr="00283401" w:rsidRDefault="0028340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- 2027 год – 2 435 957,0 руб.</w:t>
      </w:r>
    </w:p>
    <w:p w:rsidR="005D2CCB" w:rsidRPr="00C6508B" w:rsidRDefault="00372138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Нормативным правовым</w:t>
      </w:r>
      <w:r w:rsidR="00CA489F" w:rsidRPr="00C6508B">
        <w:rPr>
          <w:sz w:val="26"/>
          <w:szCs w:val="26"/>
        </w:rPr>
        <w:t xml:space="preserve"> акт</w:t>
      </w:r>
      <w:r w:rsidRPr="00C6508B">
        <w:rPr>
          <w:sz w:val="26"/>
          <w:szCs w:val="26"/>
        </w:rPr>
        <w:t>ом</w:t>
      </w:r>
      <w:r w:rsidR="005D2CCB" w:rsidRPr="00C6508B">
        <w:rPr>
          <w:sz w:val="26"/>
          <w:szCs w:val="26"/>
        </w:rPr>
        <w:t xml:space="preserve"> Думы Пожарского мун</w:t>
      </w:r>
      <w:r w:rsidR="00283401">
        <w:rPr>
          <w:sz w:val="26"/>
          <w:szCs w:val="26"/>
        </w:rPr>
        <w:t>иципального округа от 15.12.2023 года № 186</w:t>
      </w:r>
      <w:r w:rsidR="005D2CCB" w:rsidRPr="00C6508B">
        <w:rPr>
          <w:sz w:val="26"/>
          <w:szCs w:val="26"/>
        </w:rPr>
        <w:t>-НПА «О бюдже</w:t>
      </w:r>
      <w:r w:rsidR="00E2155E" w:rsidRPr="00C6508B">
        <w:rPr>
          <w:sz w:val="26"/>
          <w:szCs w:val="26"/>
        </w:rPr>
        <w:t>те Пожарско</w:t>
      </w:r>
      <w:r w:rsidR="00283401">
        <w:rPr>
          <w:sz w:val="26"/>
          <w:szCs w:val="26"/>
        </w:rPr>
        <w:t xml:space="preserve">го муниципального округа на 2024 </w:t>
      </w:r>
      <w:r w:rsidR="00283401">
        <w:rPr>
          <w:sz w:val="26"/>
          <w:szCs w:val="26"/>
        </w:rPr>
        <w:lastRenderedPageBreak/>
        <w:t>год и плановый период 2025 и 2026</w:t>
      </w:r>
      <w:r w:rsidR="005D2CCB" w:rsidRPr="00C6508B">
        <w:rPr>
          <w:sz w:val="26"/>
          <w:szCs w:val="26"/>
        </w:rPr>
        <w:t xml:space="preserve"> годов»</w:t>
      </w:r>
      <w:r w:rsidRPr="00C6508B">
        <w:rPr>
          <w:sz w:val="26"/>
          <w:szCs w:val="26"/>
        </w:rPr>
        <w:t xml:space="preserve"> (в ред. от </w:t>
      </w:r>
      <w:r w:rsidR="00283401">
        <w:rPr>
          <w:sz w:val="26"/>
          <w:szCs w:val="26"/>
          <w:lang w:val="ru-RU"/>
        </w:rPr>
        <w:t>29</w:t>
      </w:r>
      <w:r w:rsidR="00283401">
        <w:rPr>
          <w:sz w:val="26"/>
          <w:szCs w:val="26"/>
        </w:rPr>
        <w:t>.</w:t>
      </w:r>
      <w:r w:rsidR="00283401">
        <w:rPr>
          <w:sz w:val="26"/>
          <w:szCs w:val="26"/>
          <w:lang w:val="ru-RU"/>
        </w:rPr>
        <w:t>08</w:t>
      </w:r>
      <w:r w:rsidR="00283401">
        <w:rPr>
          <w:sz w:val="26"/>
          <w:szCs w:val="26"/>
        </w:rPr>
        <w:t>.2024г. № 250</w:t>
      </w:r>
      <w:r w:rsidRPr="00C6508B">
        <w:rPr>
          <w:sz w:val="26"/>
          <w:szCs w:val="26"/>
        </w:rPr>
        <w:t xml:space="preserve">-НПА)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 w:rsidRPr="00C6508B">
        <w:rPr>
          <w:sz w:val="26"/>
          <w:szCs w:val="26"/>
        </w:rPr>
        <w:t>мы утверждены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 w:rsidR="00283401">
        <w:rPr>
          <w:sz w:val="26"/>
          <w:szCs w:val="26"/>
        </w:rPr>
        <w:t>е 7 682,</w:t>
      </w:r>
      <w:r w:rsidR="00283401">
        <w:rPr>
          <w:sz w:val="26"/>
          <w:szCs w:val="26"/>
          <w:lang w:val="ru-RU"/>
        </w:rPr>
        <w:t xml:space="preserve">94 </w:t>
      </w:r>
      <w:r w:rsidR="005D2CCB" w:rsidRPr="00C6508B">
        <w:rPr>
          <w:sz w:val="26"/>
          <w:szCs w:val="26"/>
        </w:rPr>
        <w:t xml:space="preserve">тыс. руб., в том числе по годам реализации: </w:t>
      </w:r>
    </w:p>
    <w:p w:rsidR="00D31351" w:rsidRPr="00C6508B" w:rsidRDefault="0028340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  <w:lang w:val="ru-RU"/>
        </w:rPr>
        <w:t xml:space="preserve"> 2 343,64</w:t>
      </w:r>
      <w:r>
        <w:rPr>
          <w:sz w:val="26"/>
          <w:szCs w:val="26"/>
        </w:rPr>
        <w:t xml:space="preserve"> тыс. руб.</w:t>
      </w:r>
      <w:r>
        <w:rPr>
          <w:sz w:val="26"/>
          <w:szCs w:val="26"/>
          <w:lang w:val="ru-RU"/>
        </w:rPr>
        <w:t>, в том числе: за счет средств бюджета Приморского края – 178,1 тыс. руб., за счет средств местного бюджета</w:t>
      </w:r>
      <w:r w:rsidR="00B13BF5" w:rsidRPr="00C6508B">
        <w:rPr>
          <w:sz w:val="26"/>
          <w:szCs w:val="26"/>
        </w:rPr>
        <w:t>-</w:t>
      </w:r>
      <w:r w:rsidR="000B4F6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2 165,</w:t>
      </w:r>
      <w:r>
        <w:rPr>
          <w:sz w:val="26"/>
          <w:szCs w:val="26"/>
          <w:lang w:val="ru-RU"/>
        </w:rPr>
        <w:t>55 тыс. руб.</w:t>
      </w:r>
      <w:r w:rsidR="00E2155E" w:rsidRPr="00C6508B">
        <w:rPr>
          <w:sz w:val="26"/>
          <w:szCs w:val="26"/>
        </w:rPr>
        <w:t>;</w:t>
      </w:r>
    </w:p>
    <w:p w:rsidR="00D31351" w:rsidRPr="00C6508B" w:rsidRDefault="0028340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 w:rsidR="00E45464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2 655,51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28340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C11F15">
        <w:rPr>
          <w:sz w:val="26"/>
          <w:szCs w:val="26"/>
        </w:rPr>
        <w:t xml:space="preserve"> год – </w:t>
      </w:r>
      <w:r>
        <w:rPr>
          <w:sz w:val="26"/>
          <w:szCs w:val="26"/>
          <w:lang w:val="ru-RU"/>
        </w:rPr>
        <w:t>2 683,79</w:t>
      </w:r>
      <w:r w:rsidR="000B4F6C">
        <w:rPr>
          <w:sz w:val="26"/>
          <w:szCs w:val="26"/>
          <w:lang w:val="ru-RU"/>
        </w:rPr>
        <w:t xml:space="preserve"> </w:t>
      </w:r>
      <w:r w:rsidR="000F1DE3" w:rsidRPr="00C6508B">
        <w:rPr>
          <w:sz w:val="26"/>
          <w:szCs w:val="26"/>
        </w:rPr>
        <w:t>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Pr="00C6508B" w:rsidRDefault="00C30A0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970ED2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</w:t>
      </w:r>
      <w:r w:rsidR="00283401" w:rsidRPr="00970ED2">
        <w:rPr>
          <w:sz w:val="26"/>
          <w:szCs w:val="26"/>
          <w:lang w:val="ru-RU"/>
        </w:rPr>
        <w:t xml:space="preserve"> на 2024</w:t>
      </w:r>
      <w:r w:rsidRPr="00970ED2">
        <w:rPr>
          <w:sz w:val="26"/>
          <w:szCs w:val="26"/>
          <w:lang w:val="ru-RU"/>
        </w:rPr>
        <w:t xml:space="preserve"> год</w:t>
      </w:r>
      <w:r w:rsidRPr="00970ED2">
        <w:rPr>
          <w:sz w:val="26"/>
          <w:szCs w:val="26"/>
        </w:rPr>
        <w:t>,</w:t>
      </w:r>
      <w:r w:rsidR="00283401" w:rsidRPr="00970ED2">
        <w:rPr>
          <w:sz w:val="26"/>
          <w:szCs w:val="26"/>
          <w:lang w:val="ru-RU"/>
        </w:rPr>
        <w:t xml:space="preserve"> </w:t>
      </w:r>
      <w:r w:rsidRPr="00970ED2">
        <w:rPr>
          <w:sz w:val="26"/>
          <w:szCs w:val="26"/>
        </w:rPr>
        <w:t xml:space="preserve"> 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="00970ED2">
        <w:rPr>
          <w:sz w:val="26"/>
          <w:szCs w:val="26"/>
        </w:rPr>
        <w:t>утвержденным</w:t>
      </w:r>
      <w:r w:rsidR="00283401">
        <w:rPr>
          <w:sz w:val="26"/>
          <w:szCs w:val="26"/>
        </w:rPr>
        <w:t xml:space="preserve"> н</w:t>
      </w:r>
      <w:r w:rsidR="00283401" w:rsidRPr="00C6508B">
        <w:rPr>
          <w:sz w:val="26"/>
          <w:szCs w:val="26"/>
        </w:rPr>
        <w:t>ормативным правовым актом Думы Пожарского мун</w:t>
      </w:r>
      <w:r w:rsidR="00283401">
        <w:rPr>
          <w:sz w:val="26"/>
          <w:szCs w:val="26"/>
        </w:rPr>
        <w:t>иципального округа от 15.12.2023 года № 186</w:t>
      </w:r>
      <w:r w:rsidR="00283401" w:rsidRPr="00C6508B">
        <w:rPr>
          <w:sz w:val="26"/>
          <w:szCs w:val="26"/>
        </w:rPr>
        <w:t>-НПА «О бюджете Пожарско</w:t>
      </w:r>
      <w:r w:rsidR="00283401">
        <w:rPr>
          <w:sz w:val="26"/>
          <w:szCs w:val="26"/>
        </w:rPr>
        <w:t>го муниципального округа на 2024 год и плановый период 2025 и 2026</w:t>
      </w:r>
      <w:r w:rsidR="00283401" w:rsidRPr="00C6508B">
        <w:rPr>
          <w:sz w:val="26"/>
          <w:szCs w:val="26"/>
        </w:rPr>
        <w:t xml:space="preserve"> годов» (в ред. от </w:t>
      </w:r>
      <w:r w:rsidR="00283401">
        <w:rPr>
          <w:sz w:val="26"/>
          <w:szCs w:val="26"/>
          <w:lang w:val="ru-RU"/>
        </w:rPr>
        <w:t>29</w:t>
      </w:r>
      <w:r w:rsidR="00283401">
        <w:rPr>
          <w:sz w:val="26"/>
          <w:szCs w:val="26"/>
        </w:rPr>
        <w:t>.</w:t>
      </w:r>
      <w:r w:rsidR="00283401">
        <w:rPr>
          <w:sz w:val="26"/>
          <w:szCs w:val="26"/>
          <w:lang w:val="ru-RU"/>
        </w:rPr>
        <w:t>08</w:t>
      </w:r>
      <w:r w:rsidR="00283401">
        <w:rPr>
          <w:sz w:val="26"/>
          <w:szCs w:val="26"/>
        </w:rPr>
        <w:t>.2024г. № 250</w:t>
      </w:r>
      <w:r w:rsidR="00283401" w:rsidRPr="00C6508B">
        <w:rPr>
          <w:sz w:val="26"/>
          <w:szCs w:val="26"/>
        </w:rPr>
        <w:t>-НПА</w:t>
      </w:r>
    </w:p>
    <w:p w:rsidR="00CA5C1C" w:rsidRPr="00C6508B" w:rsidRDefault="00CA5C1C" w:rsidP="00C6508B">
      <w:pPr>
        <w:spacing w:line="276" w:lineRule="auto"/>
        <w:ind w:firstLine="720"/>
        <w:jc w:val="both"/>
        <w:rPr>
          <w:sz w:val="26"/>
          <w:szCs w:val="26"/>
        </w:rPr>
      </w:pPr>
      <w:r w:rsidRPr="00CA5C1C">
        <w:rPr>
          <w:sz w:val="26"/>
          <w:szCs w:val="26"/>
        </w:rPr>
        <w:t>Учитывая, что прое</w:t>
      </w:r>
      <w:r w:rsidR="008C70AF">
        <w:rPr>
          <w:sz w:val="26"/>
          <w:szCs w:val="26"/>
        </w:rPr>
        <w:t xml:space="preserve">кт постановления </w:t>
      </w:r>
      <w:r w:rsidR="00446101">
        <w:rPr>
          <w:sz w:val="26"/>
          <w:szCs w:val="26"/>
        </w:rPr>
        <w:t xml:space="preserve">администрации </w:t>
      </w:r>
      <w:r w:rsidR="006D1F5B">
        <w:rPr>
          <w:sz w:val="26"/>
          <w:szCs w:val="26"/>
        </w:rPr>
        <w:t>Пожарского муниципального округа</w:t>
      </w:r>
      <w:r w:rsidR="00446101" w:rsidRPr="00C6508B">
        <w:rPr>
          <w:sz w:val="26"/>
          <w:szCs w:val="26"/>
        </w:rPr>
        <w:t xml:space="preserve"> </w:t>
      </w:r>
      <w:r w:rsidR="00AB791E" w:rsidRPr="00C6508B">
        <w:rPr>
          <w:sz w:val="26"/>
          <w:szCs w:val="26"/>
        </w:rPr>
        <w:t>«</w:t>
      </w:r>
      <w:r w:rsidR="001161BA" w:rsidRPr="007D4CCD">
        <w:rPr>
          <w:sz w:val="26"/>
          <w:szCs w:val="26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44414F">
        <w:rPr>
          <w:sz w:val="26"/>
          <w:szCs w:val="26"/>
        </w:rPr>
        <w:t>иципального округа» на 2023-2026</w:t>
      </w:r>
      <w:r w:rsidR="001161BA" w:rsidRPr="007D4CCD">
        <w:rPr>
          <w:sz w:val="26"/>
          <w:szCs w:val="26"/>
        </w:rPr>
        <w:t xml:space="preserve"> годы</w:t>
      </w:r>
      <w:r w:rsidR="00AB791E">
        <w:rPr>
          <w:sz w:val="26"/>
          <w:szCs w:val="26"/>
        </w:rPr>
        <w:t xml:space="preserve">» </w:t>
      </w:r>
      <w:r w:rsidRPr="00CA5C1C">
        <w:rPr>
          <w:sz w:val="26"/>
          <w:szCs w:val="26"/>
        </w:rPr>
        <w:t>разработан в связи с подготовкой нормативного правового акта Думы Пожарского муниципального округа «О бюджете Пожарско</w:t>
      </w:r>
      <w:r w:rsidR="0044414F">
        <w:rPr>
          <w:sz w:val="26"/>
          <w:szCs w:val="26"/>
        </w:rPr>
        <w:t>го муниципального округа на 2025</w:t>
      </w:r>
      <w:r w:rsidRPr="00CA5C1C">
        <w:rPr>
          <w:sz w:val="26"/>
          <w:szCs w:val="26"/>
        </w:rPr>
        <w:t xml:space="preserve"> год и план</w:t>
      </w:r>
      <w:r w:rsidR="0044414F">
        <w:rPr>
          <w:sz w:val="26"/>
          <w:szCs w:val="26"/>
        </w:rPr>
        <w:t>овый период 2026 и 2027</w:t>
      </w:r>
      <w:r w:rsidRPr="00CA5C1C">
        <w:rPr>
          <w:sz w:val="26"/>
          <w:szCs w:val="26"/>
        </w:rPr>
        <w:t xml:space="preserve"> годов», </w:t>
      </w:r>
      <w:r w:rsidRPr="00CA5C1C">
        <w:rPr>
          <w:b/>
          <w:i/>
          <w:sz w:val="26"/>
          <w:szCs w:val="26"/>
        </w:rPr>
        <w:t>объемы финансирования, предложенные паспортом муниципальной п</w:t>
      </w:r>
      <w:r w:rsidR="008F4039">
        <w:rPr>
          <w:b/>
          <w:i/>
          <w:sz w:val="26"/>
          <w:szCs w:val="26"/>
        </w:rPr>
        <w:t xml:space="preserve">рограммы на </w:t>
      </w:r>
      <w:r w:rsidR="0044414F">
        <w:rPr>
          <w:b/>
          <w:i/>
          <w:sz w:val="26"/>
          <w:szCs w:val="26"/>
        </w:rPr>
        <w:t>2025-2027</w:t>
      </w:r>
      <w:r w:rsidRPr="00CA5C1C">
        <w:rPr>
          <w:b/>
          <w:i/>
          <w:sz w:val="26"/>
          <w:szCs w:val="26"/>
        </w:rPr>
        <w:t xml:space="preserve"> годы следует считать прогнозными</w:t>
      </w:r>
      <w:r w:rsidRPr="00CA5C1C">
        <w:rPr>
          <w:sz w:val="26"/>
          <w:szCs w:val="26"/>
        </w:rPr>
        <w:t>.</w:t>
      </w:r>
    </w:p>
    <w:p w:rsidR="007A5B27" w:rsidRDefault="00DC2882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пр</w:t>
      </w:r>
      <w:r w:rsidR="0044414F">
        <w:rPr>
          <w:sz w:val="26"/>
          <w:szCs w:val="26"/>
        </w:rPr>
        <w:t>ограммными мероприятиями на 2025</w:t>
      </w:r>
      <w:r>
        <w:rPr>
          <w:sz w:val="26"/>
          <w:szCs w:val="26"/>
        </w:rPr>
        <w:t xml:space="preserve"> год согласно предложенного проекта постановления являются:</w:t>
      </w:r>
    </w:p>
    <w:p w:rsidR="00C17A05" w:rsidRDefault="00DC2882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 w:rsidRPr="00904C4A">
        <w:rPr>
          <w:sz w:val="26"/>
          <w:szCs w:val="26"/>
        </w:rPr>
        <w:t>-</w:t>
      </w:r>
      <w:r w:rsidR="002E6A3D">
        <w:rPr>
          <w:sz w:val="26"/>
          <w:szCs w:val="26"/>
          <w:lang w:val="ru-RU"/>
        </w:rPr>
        <w:t xml:space="preserve"> содержание объектов озеленения </w:t>
      </w:r>
      <w:r w:rsidR="00904C4A">
        <w:rPr>
          <w:sz w:val="26"/>
          <w:szCs w:val="26"/>
        </w:rPr>
        <w:t xml:space="preserve">– </w:t>
      </w:r>
      <w:r w:rsidR="0044414F">
        <w:rPr>
          <w:sz w:val="26"/>
          <w:szCs w:val="26"/>
          <w:lang w:val="ru-RU"/>
        </w:rPr>
        <w:t>1 733 219,0</w:t>
      </w:r>
      <w:r w:rsidR="00904C4A">
        <w:rPr>
          <w:sz w:val="26"/>
          <w:szCs w:val="26"/>
        </w:rPr>
        <w:t xml:space="preserve"> руб.</w:t>
      </w:r>
      <w:r w:rsidR="00C17A05">
        <w:rPr>
          <w:sz w:val="26"/>
          <w:szCs w:val="26"/>
          <w:lang w:val="ru-RU"/>
        </w:rPr>
        <w:t>, в том числе:</w:t>
      </w:r>
    </w:p>
    <w:p w:rsidR="00C17A05" w:rsidRDefault="0044414F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пгт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Лучегорск</w:t>
      </w:r>
      <w:proofErr w:type="spellEnd"/>
      <w:r>
        <w:rPr>
          <w:sz w:val="26"/>
          <w:szCs w:val="26"/>
          <w:lang w:val="ru-RU"/>
        </w:rPr>
        <w:t xml:space="preserve"> – 1 450 184,0</w:t>
      </w:r>
      <w:r w:rsidR="00C17A05">
        <w:rPr>
          <w:sz w:val="26"/>
          <w:szCs w:val="26"/>
          <w:lang w:val="ru-RU"/>
        </w:rPr>
        <w:t xml:space="preserve"> руб.;</w:t>
      </w:r>
    </w:p>
    <w:p w:rsidR="00C17A05" w:rsidRDefault="00DF3B91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Губеровский</w:t>
      </w:r>
      <w:proofErr w:type="spellEnd"/>
      <w:r>
        <w:rPr>
          <w:sz w:val="26"/>
          <w:szCs w:val="26"/>
          <w:lang w:val="ru-RU"/>
        </w:rPr>
        <w:t xml:space="preserve"> т/о </w:t>
      </w:r>
      <w:r w:rsidR="00287A9B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="0044414F">
        <w:rPr>
          <w:sz w:val="26"/>
          <w:szCs w:val="26"/>
          <w:lang w:val="ru-RU"/>
        </w:rPr>
        <w:t>50 746,0</w:t>
      </w:r>
      <w:r w:rsidR="00287A9B">
        <w:rPr>
          <w:sz w:val="26"/>
          <w:szCs w:val="26"/>
          <w:lang w:val="ru-RU"/>
        </w:rPr>
        <w:t xml:space="preserve"> руб.;</w:t>
      </w:r>
    </w:p>
    <w:p w:rsidR="00287A9B" w:rsidRDefault="0044414F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Пожарский т/о – 27 039,0</w:t>
      </w:r>
      <w:r w:rsidR="00287A9B">
        <w:rPr>
          <w:sz w:val="26"/>
          <w:szCs w:val="26"/>
          <w:lang w:val="ru-RU"/>
        </w:rPr>
        <w:t xml:space="preserve"> руб.;</w:t>
      </w:r>
    </w:p>
    <w:p w:rsidR="00287A9B" w:rsidRDefault="0044414F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Нагорненский</w:t>
      </w:r>
      <w:proofErr w:type="spellEnd"/>
      <w:r>
        <w:rPr>
          <w:sz w:val="26"/>
          <w:szCs w:val="26"/>
          <w:lang w:val="ru-RU"/>
        </w:rPr>
        <w:t xml:space="preserve"> т/о – 18 352,0</w:t>
      </w:r>
      <w:r w:rsidR="00287A9B">
        <w:rPr>
          <w:sz w:val="26"/>
          <w:szCs w:val="26"/>
          <w:lang w:val="ru-RU"/>
        </w:rPr>
        <w:t xml:space="preserve"> руб.;</w:t>
      </w:r>
    </w:p>
    <w:p w:rsidR="00E861B2" w:rsidRDefault="0044414F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Игнатьевский</w:t>
      </w:r>
      <w:proofErr w:type="spellEnd"/>
      <w:r>
        <w:rPr>
          <w:sz w:val="26"/>
          <w:szCs w:val="26"/>
          <w:lang w:val="ru-RU"/>
        </w:rPr>
        <w:t xml:space="preserve"> т/о – 24 980,0</w:t>
      </w:r>
      <w:r w:rsidR="00E861B2">
        <w:rPr>
          <w:sz w:val="26"/>
          <w:szCs w:val="26"/>
          <w:lang w:val="ru-RU"/>
        </w:rPr>
        <w:t xml:space="preserve"> руб.</w:t>
      </w:r>
    </w:p>
    <w:p w:rsidR="00287A9B" w:rsidRDefault="0044414F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Федосьевский</w:t>
      </w:r>
      <w:proofErr w:type="spellEnd"/>
      <w:r>
        <w:rPr>
          <w:sz w:val="26"/>
          <w:szCs w:val="26"/>
          <w:lang w:val="ru-RU"/>
        </w:rPr>
        <w:t xml:space="preserve"> т/о – 52 300,0</w:t>
      </w:r>
      <w:r w:rsidR="00287A9B">
        <w:rPr>
          <w:sz w:val="26"/>
          <w:szCs w:val="26"/>
          <w:lang w:val="ru-RU"/>
        </w:rPr>
        <w:t xml:space="preserve"> руб.;</w:t>
      </w:r>
    </w:p>
    <w:p w:rsidR="00287A9B" w:rsidRDefault="0044414F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Светлогорский т/о – 59 956,0</w:t>
      </w:r>
      <w:r w:rsidR="00287A9B">
        <w:rPr>
          <w:sz w:val="26"/>
          <w:szCs w:val="26"/>
          <w:lang w:val="ru-RU"/>
        </w:rPr>
        <w:t xml:space="preserve"> руб.;</w:t>
      </w:r>
    </w:p>
    <w:p w:rsidR="00287A9B" w:rsidRDefault="00287A9B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 w:rsidRPr="00287A9B">
        <w:rPr>
          <w:sz w:val="26"/>
          <w:szCs w:val="26"/>
        </w:rPr>
        <w:t>Верхнеперевальский</w:t>
      </w:r>
      <w:proofErr w:type="spellEnd"/>
      <w:r w:rsidR="0044414F">
        <w:rPr>
          <w:sz w:val="26"/>
          <w:szCs w:val="26"/>
          <w:lang w:val="ru-RU"/>
        </w:rPr>
        <w:t xml:space="preserve"> т/о – 5 359,0</w:t>
      </w:r>
      <w:r>
        <w:rPr>
          <w:sz w:val="26"/>
          <w:szCs w:val="26"/>
          <w:lang w:val="ru-RU"/>
        </w:rPr>
        <w:t xml:space="preserve"> руб.;</w:t>
      </w:r>
    </w:p>
    <w:p w:rsidR="00287A9B" w:rsidRDefault="00287A9B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Соболин</w:t>
      </w:r>
      <w:r w:rsidRPr="00287A9B">
        <w:rPr>
          <w:sz w:val="26"/>
          <w:szCs w:val="26"/>
        </w:rPr>
        <w:t>ский</w:t>
      </w:r>
      <w:proofErr w:type="spellEnd"/>
      <w:r w:rsidR="0044414F">
        <w:rPr>
          <w:sz w:val="26"/>
          <w:szCs w:val="26"/>
          <w:lang w:val="ru-RU"/>
        </w:rPr>
        <w:t xml:space="preserve"> т/о – 10 715,0</w:t>
      </w:r>
      <w:r>
        <w:rPr>
          <w:sz w:val="26"/>
          <w:szCs w:val="26"/>
          <w:lang w:val="ru-RU"/>
        </w:rPr>
        <w:t xml:space="preserve"> руб.;</w:t>
      </w:r>
    </w:p>
    <w:p w:rsidR="00287A9B" w:rsidRDefault="00287A9B" w:rsidP="00287A9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val="ru-RU"/>
        </w:rPr>
      </w:pPr>
      <w:proofErr w:type="spellStart"/>
      <w:r w:rsidRPr="00287A9B">
        <w:rPr>
          <w:sz w:val="26"/>
          <w:szCs w:val="26"/>
        </w:rPr>
        <w:t>Краснояровский</w:t>
      </w:r>
      <w:proofErr w:type="spellEnd"/>
      <w:r w:rsidRPr="00287A9B">
        <w:rPr>
          <w:sz w:val="26"/>
          <w:szCs w:val="26"/>
          <w:lang w:val="ru-RU"/>
        </w:rPr>
        <w:t xml:space="preserve"> т</w:t>
      </w:r>
      <w:r w:rsidR="0044414F">
        <w:rPr>
          <w:sz w:val="26"/>
          <w:szCs w:val="26"/>
          <w:lang w:val="ru-RU"/>
        </w:rPr>
        <w:t>/о – 33 588,0</w:t>
      </w:r>
      <w:r>
        <w:rPr>
          <w:sz w:val="26"/>
          <w:szCs w:val="26"/>
          <w:lang w:val="ru-RU"/>
        </w:rPr>
        <w:t xml:space="preserve"> руб.;</w:t>
      </w:r>
    </w:p>
    <w:p w:rsidR="00287A9B" w:rsidRDefault="00287A9B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DC2882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распил и вывоз упавших, сломанных дер</w:t>
      </w:r>
      <w:r w:rsidR="0044414F">
        <w:rPr>
          <w:sz w:val="26"/>
          <w:szCs w:val="26"/>
          <w:lang w:val="ru-RU"/>
        </w:rPr>
        <w:t xml:space="preserve">евьев </w:t>
      </w:r>
      <w:proofErr w:type="spellStart"/>
      <w:r w:rsidR="0044414F">
        <w:rPr>
          <w:sz w:val="26"/>
          <w:szCs w:val="26"/>
          <w:lang w:val="ru-RU"/>
        </w:rPr>
        <w:t>пгт</w:t>
      </w:r>
      <w:proofErr w:type="spellEnd"/>
      <w:r w:rsidR="0044414F">
        <w:rPr>
          <w:sz w:val="26"/>
          <w:szCs w:val="26"/>
          <w:lang w:val="ru-RU"/>
        </w:rPr>
        <w:t xml:space="preserve"> </w:t>
      </w:r>
      <w:proofErr w:type="spellStart"/>
      <w:r w:rsidR="0044414F">
        <w:rPr>
          <w:sz w:val="26"/>
          <w:szCs w:val="26"/>
          <w:lang w:val="ru-RU"/>
        </w:rPr>
        <w:t>Лучегорск</w:t>
      </w:r>
      <w:proofErr w:type="spellEnd"/>
      <w:r w:rsidR="0044414F">
        <w:rPr>
          <w:sz w:val="26"/>
          <w:szCs w:val="26"/>
          <w:lang w:val="ru-RU"/>
        </w:rPr>
        <w:t xml:space="preserve"> – 259 480,0</w:t>
      </w:r>
      <w:r>
        <w:rPr>
          <w:sz w:val="26"/>
          <w:szCs w:val="26"/>
          <w:lang w:val="ru-RU"/>
        </w:rPr>
        <w:t xml:space="preserve"> руб.;</w:t>
      </w:r>
    </w:p>
    <w:p w:rsidR="00DC2882" w:rsidRPr="00287A9B" w:rsidRDefault="00287A9B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 распил и вывоз упавших, сломанных деревьев сельски</w:t>
      </w:r>
      <w:r w:rsidR="0044414F">
        <w:rPr>
          <w:sz w:val="26"/>
          <w:szCs w:val="26"/>
          <w:lang w:val="ru-RU"/>
        </w:rPr>
        <w:t>е населенные пункты – 259 480,0</w:t>
      </w:r>
      <w:r>
        <w:rPr>
          <w:sz w:val="26"/>
          <w:szCs w:val="26"/>
          <w:lang w:val="ru-RU"/>
        </w:rPr>
        <w:t xml:space="preserve"> руб.</w:t>
      </w:r>
    </w:p>
    <w:p w:rsidR="006F1C1E" w:rsidRDefault="0044414F" w:rsidP="0044414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Согласно пояснительной записке потребность заявленных финансовых средств определена разработчиком методом индексации.</w:t>
      </w:r>
    </w:p>
    <w:p w:rsidR="00FC7326" w:rsidRDefault="0044414F" w:rsidP="0044414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соответствии с Методикой планирования бюджетных ассигнований бюджета Пожарского муниципального округа на очередной финансовый год и плановый период, утвержденной приказом финансового управления администрации Пожарского муниципального округа</w:t>
      </w:r>
      <w:r w:rsidR="000B4AA5">
        <w:rPr>
          <w:sz w:val="26"/>
          <w:szCs w:val="26"/>
          <w:lang w:val="ru-RU"/>
        </w:rPr>
        <w:t xml:space="preserve"> от 04.09.2023г. № 41-од, одним из методов планирования бюджетных ассигнований является метод индексации, согласно которому расчет объема бюджетных ассигнований выполняется путем увеличения объема бюджетных ассигнований текущего (пре</w:t>
      </w:r>
      <w:r w:rsidR="00FC7326">
        <w:rPr>
          <w:sz w:val="26"/>
          <w:szCs w:val="26"/>
          <w:lang w:val="ru-RU"/>
        </w:rPr>
        <w:t>дыдущего) года на уровень инфляции или иной коэффициент, установленный финансовым управлением администрации Пожарского муниципального округа для определенного вида ассигнований.</w:t>
      </w:r>
    </w:p>
    <w:p w:rsidR="00FC7326" w:rsidRDefault="00FC7326" w:rsidP="0044414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Письмом финансового управления администрации Пожарского муниципального округа от 26.08.2024г. № 488 установлено, что </w:t>
      </w:r>
      <w:r w:rsidR="000B6B80">
        <w:rPr>
          <w:sz w:val="26"/>
          <w:szCs w:val="26"/>
          <w:lang w:val="ru-RU"/>
        </w:rPr>
        <w:t>при планировании</w:t>
      </w:r>
      <w:r>
        <w:rPr>
          <w:sz w:val="26"/>
          <w:szCs w:val="26"/>
          <w:lang w:val="ru-RU"/>
        </w:rPr>
        <w:t xml:space="preserve"> прочих услуг ГРБС применяют коэффициент инфляции в размере 4% по каждому мероприятию.</w:t>
      </w:r>
    </w:p>
    <w:p w:rsidR="0044414F" w:rsidRPr="0044414F" w:rsidRDefault="00FC7326" w:rsidP="0044414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Таким образом, </w:t>
      </w:r>
      <w:r w:rsidR="000F68C5">
        <w:rPr>
          <w:sz w:val="26"/>
          <w:szCs w:val="26"/>
          <w:lang w:val="ru-RU"/>
        </w:rPr>
        <w:t>обоснование потребности финансовых средств на</w:t>
      </w:r>
      <w:r>
        <w:rPr>
          <w:sz w:val="26"/>
          <w:szCs w:val="26"/>
          <w:lang w:val="ru-RU"/>
        </w:rPr>
        <w:t xml:space="preserve"> р</w:t>
      </w:r>
      <w:r w:rsidR="000F68C5">
        <w:rPr>
          <w:sz w:val="26"/>
          <w:szCs w:val="26"/>
          <w:lang w:val="ru-RU"/>
        </w:rPr>
        <w:t>еализацию</w:t>
      </w:r>
      <w:r>
        <w:rPr>
          <w:sz w:val="26"/>
          <w:szCs w:val="26"/>
          <w:lang w:val="ru-RU"/>
        </w:rPr>
        <w:t xml:space="preserve"> мероприятий данной муниципальной программы методом индексации не противоречит, принятым муниципальн</w:t>
      </w:r>
      <w:r w:rsidR="005B30E2">
        <w:rPr>
          <w:sz w:val="26"/>
          <w:szCs w:val="26"/>
          <w:lang w:val="ru-RU"/>
        </w:rPr>
        <w:t>ым правовым актам, регламентирую</w:t>
      </w:r>
      <w:r>
        <w:rPr>
          <w:sz w:val="26"/>
          <w:szCs w:val="26"/>
          <w:lang w:val="ru-RU"/>
        </w:rPr>
        <w:t>щим порядок</w:t>
      </w:r>
      <w:r w:rsidR="000F68C5">
        <w:rPr>
          <w:sz w:val="26"/>
          <w:szCs w:val="26"/>
          <w:lang w:val="ru-RU"/>
        </w:rPr>
        <w:t xml:space="preserve"> планирования бюджетных ассигнований.</w:t>
      </w:r>
      <w:r>
        <w:rPr>
          <w:sz w:val="26"/>
          <w:szCs w:val="26"/>
          <w:lang w:val="ru-RU"/>
        </w:rPr>
        <w:t xml:space="preserve"> 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EE44DF" w:rsidRPr="00C6508B">
        <w:rPr>
          <w:sz w:val="26"/>
          <w:szCs w:val="26"/>
        </w:rPr>
        <w:t>«</w:t>
      </w:r>
      <w:r w:rsidR="00A716B2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0F68C5">
        <w:rPr>
          <w:sz w:val="26"/>
          <w:szCs w:val="26"/>
          <w:lang w:val="ru-RU" w:eastAsia="ru-RU"/>
        </w:rPr>
        <w:t>иципального округа» на 2023-2026</w:t>
      </w:r>
      <w:r w:rsidR="00A716B2" w:rsidRPr="007D4CCD">
        <w:rPr>
          <w:sz w:val="26"/>
          <w:szCs w:val="26"/>
          <w:lang w:val="ru-RU" w:eastAsia="ru-RU"/>
        </w:rPr>
        <w:t xml:space="preserve"> годы</w:t>
      </w:r>
      <w:r w:rsidR="00EE44DF">
        <w:rPr>
          <w:sz w:val="26"/>
          <w:szCs w:val="26"/>
        </w:rPr>
        <w:t xml:space="preserve">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0B6B80" w:rsidRPr="004C205C" w:rsidRDefault="000B6B80" w:rsidP="000B6B80">
      <w:pPr>
        <w:spacing w:line="276" w:lineRule="auto"/>
        <w:ind w:firstLine="720"/>
        <w:jc w:val="both"/>
        <w:outlineLvl w:val="2"/>
        <w:rPr>
          <w:sz w:val="26"/>
          <w:szCs w:val="26"/>
        </w:rPr>
      </w:pPr>
      <w:r w:rsidRPr="004C205C">
        <w:rPr>
          <w:sz w:val="26"/>
          <w:szCs w:val="26"/>
        </w:rPr>
        <w:t>Обращаю внимание на то, что 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DD0DD9" w:rsidRPr="000B6B80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  <w:lang w:val="ru-RU"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Председатель </w:t>
      </w:r>
      <w:proofErr w:type="spellStart"/>
      <w:r w:rsidRPr="00C6508B">
        <w:rPr>
          <w:sz w:val="26"/>
          <w:szCs w:val="26"/>
        </w:rPr>
        <w:t>К</w:t>
      </w:r>
      <w:r w:rsidR="00822DEF" w:rsidRPr="00C6508B">
        <w:rPr>
          <w:sz w:val="26"/>
          <w:szCs w:val="26"/>
        </w:rPr>
        <w:t>онтрольно</w:t>
      </w:r>
      <w:proofErr w:type="spellEnd"/>
      <w:r w:rsidR="00822DEF" w:rsidRPr="00C6508B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p w:rsidR="00A716B2" w:rsidRDefault="00A716B2" w:rsidP="007A189D">
      <w:pPr>
        <w:rPr>
          <w:sz w:val="26"/>
          <w:szCs w:val="26"/>
        </w:rPr>
      </w:pPr>
    </w:p>
    <w:p w:rsidR="00A716B2" w:rsidRDefault="00A716B2" w:rsidP="007A189D">
      <w:pPr>
        <w:rPr>
          <w:sz w:val="26"/>
          <w:szCs w:val="26"/>
        </w:rPr>
      </w:pPr>
    </w:p>
    <w:p w:rsidR="00A716B2" w:rsidRPr="00C6508B" w:rsidRDefault="00A716B2" w:rsidP="007A189D">
      <w:pPr>
        <w:rPr>
          <w:sz w:val="26"/>
          <w:szCs w:val="26"/>
        </w:rPr>
      </w:pPr>
    </w:p>
    <w:sectPr w:rsidR="00A716B2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12" w:rsidRDefault="00197312">
      <w:r>
        <w:separator/>
      </w:r>
    </w:p>
  </w:endnote>
  <w:endnote w:type="continuationSeparator" w:id="0">
    <w:p w:rsidR="00197312" w:rsidRDefault="0019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12" w:rsidRDefault="00197312">
      <w:r>
        <w:separator/>
      </w:r>
    </w:p>
  </w:footnote>
  <w:footnote w:type="continuationSeparator" w:id="0">
    <w:p w:rsidR="00197312" w:rsidRDefault="0019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75CF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F7D"/>
    <w:rsid w:val="00012C2C"/>
    <w:rsid w:val="0001484E"/>
    <w:rsid w:val="00017A49"/>
    <w:rsid w:val="0002191A"/>
    <w:rsid w:val="00024FF2"/>
    <w:rsid w:val="0002502B"/>
    <w:rsid w:val="000262B3"/>
    <w:rsid w:val="00032827"/>
    <w:rsid w:val="000336C9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2B9C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4AA5"/>
    <w:rsid w:val="000B4F6C"/>
    <w:rsid w:val="000B6B80"/>
    <w:rsid w:val="000B7D8D"/>
    <w:rsid w:val="000C7581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68C5"/>
    <w:rsid w:val="000F73BF"/>
    <w:rsid w:val="00102ED5"/>
    <w:rsid w:val="001048AC"/>
    <w:rsid w:val="001058AD"/>
    <w:rsid w:val="001071D5"/>
    <w:rsid w:val="001109BF"/>
    <w:rsid w:val="001154F5"/>
    <w:rsid w:val="00115CC7"/>
    <w:rsid w:val="001161BA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6C62"/>
    <w:rsid w:val="00197312"/>
    <w:rsid w:val="00197A28"/>
    <w:rsid w:val="001A0E94"/>
    <w:rsid w:val="001B21E5"/>
    <w:rsid w:val="001B22D6"/>
    <w:rsid w:val="001B4664"/>
    <w:rsid w:val="001B4D07"/>
    <w:rsid w:val="001B6612"/>
    <w:rsid w:val="001C10A8"/>
    <w:rsid w:val="001C366E"/>
    <w:rsid w:val="001C3FE2"/>
    <w:rsid w:val="001C4EF6"/>
    <w:rsid w:val="001C50AD"/>
    <w:rsid w:val="001C7244"/>
    <w:rsid w:val="001D046B"/>
    <w:rsid w:val="001D14D8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073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0F5"/>
    <w:rsid w:val="0025515E"/>
    <w:rsid w:val="00256D1A"/>
    <w:rsid w:val="00257726"/>
    <w:rsid w:val="002578CE"/>
    <w:rsid w:val="00263423"/>
    <w:rsid w:val="00266224"/>
    <w:rsid w:val="002706D8"/>
    <w:rsid w:val="00274244"/>
    <w:rsid w:val="0027589B"/>
    <w:rsid w:val="00280734"/>
    <w:rsid w:val="00283401"/>
    <w:rsid w:val="00283ED9"/>
    <w:rsid w:val="00284A93"/>
    <w:rsid w:val="00287A9B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E6A3D"/>
    <w:rsid w:val="002F0BDC"/>
    <w:rsid w:val="002F348D"/>
    <w:rsid w:val="002F61C7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19F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A75DB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2EA2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31A"/>
    <w:rsid w:val="0044352A"/>
    <w:rsid w:val="0044414F"/>
    <w:rsid w:val="004441D1"/>
    <w:rsid w:val="0044538A"/>
    <w:rsid w:val="00445A22"/>
    <w:rsid w:val="00446101"/>
    <w:rsid w:val="004464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662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0FC8"/>
    <w:rsid w:val="005B30E2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67B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17C0A"/>
    <w:rsid w:val="006211FE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1C1E"/>
    <w:rsid w:val="006F4E15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12B0"/>
    <w:rsid w:val="007B2982"/>
    <w:rsid w:val="007B478C"/>
    <w:rsid w:val="007B4A54"/>
    <w:rsid w:val="007B7F7E"/>
    <w:rsid w:val="007C0F26"/>
    <w:rsid w:val="007C49CA"/>
    <w:rsid w:val="007C5A65"/>
    <w:rsid w:val="007D0937"/>
    <w:rsid w:val="007D158F"/>
    <w:rsid w:val="007D4718"/>
    <w:rsid w:val="007D4CCD"/>
    <w:rsid w:val="007E308D"/>
    <w:rsid w:val="007E36A0"/>
    <w:rsid w:val="007F41EC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B6AA6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D76D7"/>
    <w:rsid w:val="008E0CD4"/>
    <w:rsid w:val="008E323B"/>
    <w:rsid w:val="008E4476"/>
    <w:rsid w:val="008E4F44"/>
    <w:rsid w:val="008E652A"/>
    <w:rsid w:val="008E6CDC"/>
    <w:rsid w:val="008E75CF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20CC"/>
    <w:rsid w:val="009570FF"/>
    <w:rsid w:val="0095776D"/>
    <w:rsid w:val="00957913"/>
    <w:rsid w:val="00960741"/>
    <w:rsid w:val="00962684"/>
    <w:rsid w:val="0096326C"/>
    <w:rsid w:val="00970ED2"/>
    <w:rsid w:val="009713B2"/>
    <w:rsid w:val="00973B59"/>
    <w:rsid w:val="009750A7"/>
    <w:rsid w:val="0097633B"/>
    <w:rsid w:val="009775B0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3C74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16B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4CFC"/>
    <w:rsid w:val="00AA60F4"/>
    <w:rsid w:val="00AA6C23"/>
    <w:rsid w:val="00AA6E84"/>
    <w:rsid w:val="00AB009E"/>
    <w:rsid w:val="00AB1B20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460D"/>
    <w:rsid w:val="00AD57B1"/>
    <w:rsid w:val="00AD5E64"/>
    <w:rsid w:val="00AD69CC"/>
    <w:rsid w:val="00AE191C"/>
    <w:rsid w:val="00AE1D5F"/>
    <w:rsid w:val="00AE237B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3A7C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A05"/>
    <w:rsid w:val="00C17EF4"/>
    <w:rsid w:val="00C21A82"/>
    <w:rsid w:val="00C2641A"/>
    <w:rsid w:val="00C30307"/>
    <w:rsid w:val="00C30A03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368"/>
    <w:rsid w:val="00CA045E"/>
    <w:rsid w:val="00CA079F"/>
    <w:rsid w:val="00CA27DB"/>
    <w:rsid w:val="00CA3666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CAD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28A8"/>
    <w:rsid w:val="00DC328F"/>
    <w:rsid w:val="00DC6B01"/>
    <w:rsid w:val="00DC7C18"/>
    <w:rsid w:val="00DD0326"/>
    <w:rsid w:val="00DD07C8"/>
    <w:rsid w:val="00DD0DD9"/>
    <w:rsid w:val="00DD25AE"/>
    <w:rsid w:val="00DD4BE5"/>
    <w:rsid w:val="00DE10D5"/>
    <w:rsid w:val="00DE3405"/>
    <w:rsid w:val="00DE5EFA"/>
    <w:rsid w:val="00DE622A"/>
    <w:rsid w:val="00DF3B31"/>
    <w:rsid w:val="00DF3B91"/>
    <w:rsid w:val="00DF3C3A"/>
    <w:rsid w:val="00DF4B8E"/>
    <w:rsid w:val="00E01083"/>
    <w:rsid w:val="00E0349F"/>
    <w:rsid w:val="00E03EEC"/>
    <w:rsid w:val="00E0569A"/>
    <w:rsid w:val="00E076CC"/>
    <w:rsid w:val="00E07F58"/>
    <w:rsid w:val="00E12155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861B2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6A0"/>
    <w:rsid w:val="00EA2C5A"/>
    <w:rsid w:val="00EA3EF0"/>
    <w:rsid w:val="00EA4895"/>
    <w:rsid w:val="00EA668B"/>
    <w:rsid w:val="00EB0106"/>
    <w:rsid w:val="00EB03DD"/>
    <w:rsid w:val="00EB0C75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1171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000F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5162"/>
    <w:rsid w:val="00FB7260"/>
    <w:rsid w:val="00FC0985"/>
    <w:rsid w:val="00FC2DA1"/>
    <w:rsid w:val="00FC6CC4"/>
    <w:rsid w:val="00FC7326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6360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3954-BA58-4AA2-A274-5DA73E0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4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  <w:rPr>
      <w:lang w:val="x-none" w:eastAsia="x-none"/>
    </w:r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Название1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5972-5289-4F73-B5FE-AD991D5A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2024-10-07T04:20:00Z</cp:lastPrinted>
  <dcterms:created xsi:type="dcterms:W3CDTF">2024-10-08T05:39:00Z</dcterms:created>
  <dcterms:modified xsi:type="dcterms:W3CDTF">2024-10-08T05:39:00Z</dcterms:modified>
</cp:coreProperties>
</file>